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541A7B4" wp14:paraId="5C1A07E2" wp14:textId="51FBD7D1">
      <w:pPr>
        <w:pStyle w:val="Normal"/>
        <w:jc w:val="center"/>
      </w:pPr>
      <w:r w:rsidR="550821F2">
        <w:drawing>
          <wp:inline xmlns:wp14="http://schemas.microsoft.com/office/word/2010/wordprocessingDrawing" wp14:editId="5541A7B4" wp14:anchorId="56220F47">
            <wp:extent cx="1351842" cy="701719"/>
            <wp:effectExtent l="0" t="0" r="0" b="0"/>
            <wp:docPr id="1544039791" name="" title=""/>
            <wp:cNvGraphicFramePr>
              <a:graphicFrameLocks noChangeAspect="1"/>
            </wp:cNvGraphicFramePr>
            <a:graphic>
              <a:graphicData uri="http://schemas.openxmlformats.org/drawingml/2006/picture">
                <pic:pic>
                  <pic:nvPicPr>
                    <pic:cNvPr id="0" name=""/>
                    <pic:cNvPicPr/>
                  </pic:nvPicPr>
                  <pic:blipFill>
                    <a:blip r:embed="Rce95bd3904ae4d26">
                      <a:extLst>
                        <a:ext xmlns:a="http://schemas.openxmlformats.org/drawingml/2006/main" uri="{28A0092B-C50C-407E-A947-70E740481C1C}">
                          <a14:useLocalDpi val="0"/>
                        </a:ext>
                      </a:extLst>
                    </a:blip>
                    <a:stretch>
                      <a:fillRect/>
                    </a:stretch>
                  </pic:blipFill>
                  <pic:spPr>
                    <a:xfrm>
                      <a:off x="0" y="0"/>
                      <a:ext cx="1351842" cy="701719"/>
                    </a:xfrm>
                    <a:prstGeom prst="rect">
                      <a:avLst/>
                    </a:prstGeom>
                  </pic:spPr>
                </pic:pic>
              </a:graphicData>
            </a:graphic>
          </wp:inline>
        </w:drawing>
      </w:r>
    </w:p>
    <w:p w:rsidR="550821F2" w:rsidP="5541A7B4" w:rsidRDefault="550821F2" w14:paraId="1A7E360E" w14:textId="6D9871AE">
      <w:pPr>
        <w:ind w:left="-20" w:right="-20"/>
        <w:jc w:val="center"/>
        <w:rPr>
          <w:rFonts w:ascii="Arial" w:hAnsi="Arial" w:eastAsia="Arial" w:cs="Arial"/>
          <w:b w:val="1"/>
          <w:bCs w:val="1"/>
          <w:noProof w:val="0"/>
          <w:color w:val="191919"/>
          <w:sz w:val="36"/>
          <w:szCs w:val="36"/>
          <w:lang w:val="es-ES"/>
        </w:rPr>
      </w:pPr>
      <w:r w:rsidRPr="5541A7B4" w:rsidR="550821F2">
        <w:rPr>
          <w:rFonts w:ascii="Arial" w:hAnsi="Arial" w:eastAsia="Arial" w:cs="Arial"/>
          <w:b w:val="1"/>
          <w:bCs w:val="1"/>
          <w:noProof w:val="0"/>
          <w:color w:val="191919"/>
          <w:sz w:val="36"/>
          <w:szCs w:val="36"/>
          <w:lang w:val="es-ES"/>
        </w:rPr>
        <w:t>BIG BANG UNICO GREEN SAXEM:</w:t>
      </w:r>
    </w:p>
    <w:p w:rsidR="550821F2" w:rsidP="5541A7B4" w:rsidRDefault="550821F2" w14:paraId="7A7BE173" w14:textId="49633D4D">
      <w:pPr>
        <w:spacing w:after="160" w:line="259" w:lineRule="auto"/>
        <w:jc w:val="center"/>
        <w:rPr>
          <w:rFonts w:ascii="Calibri" w:hAnsi="Calibri" w:eastAsia="Calibri" w:cs="Calibri"/>
          <w:noProof w:val="0"/>
          <w:color w:val="FF0000"/>
          <w:sz w:val="32"/>
          <w:szCs w:val="32"/>
          <w:lang w:val="es-ES"/>
        </w:rPr>
      </w:pPr>
      <w:r w:rsidRPr="5541A7B4" w:rsidR="550821F2">
        <w:rPr>
          <w:rFonts w:ascii="Calibri" w:hAnsi="Calibri" w:eastAsia="Calibri" w:cs="Calibri"/>
          <w:b w:val="1"/>
          <w:bCs w:val="1"/>
          <w:noProof w:val="0"/>
          <w:color w:val="FF0000"/>
          <w:sz w:val="32"/>
          <w:szCs w:val="32"/>
          <w:lang w:val="es-ES"/>
        </w:rPr>
        <w:t>____</w:t>
      </w:r>
    </w:p>
    <w:p w:rsidR="42115372" w:rsidP="5541A7B4" w:rsidRDefault="42115372" w14:paraId="784B684A" w14:textId="41A4D63A">
      <w:pPr>
        <w:ind w:left="-20" w:right="-20"/>
        <w:jc w:val="center"/>
      </w:pPr>
      <w:r w:rsidRPr="5541A7B4" w:rsidR="42115372">
        <w:rPr>
          <w:rFonts w:ascii="Arial" w:hAnsi="Arial" w:eastAsia="Arial" w:cs="Arial"/>
          <w:b w:val="1"/>
          <w:bCs w:val="1"/>
          <w:noProof w:val="0"/>
          <w:color w:val="191919"/>
          <w:sz w:val="28"/>
          <w:szCs w:val="28"/>
          <w:lang w:val="es-ES"/>
        </w:rPr>
        <w:t>Hublot</w:t>
      </w:r>
      <w:r w:rsidRPr="5541A7B4" w:rsidR="42115372">
        <w:rPr>
          <w:rFonts w:ascii="Arial" w:hAnsi="Arial" w:eastAsia="Arial" w:cs="Arial"/>
          <w:b w:val="1"/>
          <w:bCs w:val="1"/>
          <w:noProof w:val="0"/>
          <w:color w:val="191919"/>
          <w:sz w:val="28"/>
          <w:szCs w:val="28"/>
          <w:lang w:val="es-ES"/>
        </w:rPr>
        <w:t xml:space="preserve"> lanza el nuevo tono de su revolucionario material SAXEM. El SAXEM, estrechamente unido al zafiro, es igual de resistente, pero es todavía más luminoso.</w:t>
      </w:r>
      <w:r w:rsidRPr="5541A7B4" w:rsidR="572CCB6D">
        <w:rPr>
          <w:rFonts w:ascii="Arial" w:hAnsi="Arial" w:eastAsia="Arial" w:cs="Arial"/>
          <w:b w:val="1"/>
          <w:bCs w:val="1"/>
          <w:noProof w:val="0"/>
          <w:color w:val="191919"/>
          <w:sz w:val="28"/>
          <w:szCs w:val="28"/>
          <w:lang w:val="es-ES"/>
        </w:rPr>
        <w:t xml:space="preserve"> </w:t>
      </w:r>
      <w:r w:rsidR="550821F2">
        <w:drawing>
          <wp:inline wp14:editId="303EA777" wp14:anchorId="44C05F59">
            <wp:extent cx="4572000" cy="3667125"/>
            <wp:effectExtent l="0" t="0" r="0" b="0"/>
            <wp:docPr id="1036543013" name="" title=""/>
            <wp:cNvGraphicFramePr>
              <a:graphicFrameLocks noChangeAspect="1"/>
            </wp:cNvGraphicFramePr>
            <a:graphic>
              <a:graphicData uri="http://schemas.openxmlformats.org/drawingml/2006/picture">
                <pic:pic>
                  <pic:nvPicPr>
                    <pic:cNvPr id="0" name=""/>
                    <pic:cNvPicPr/>
                  </pic:nvPicPr>
                  <pic:blipFill>
                    <a:blip r:embed="R3408d4ae4dc7463b">
                      <a:extLst>
                        <a:ext xmlns:a="http://schemas.openxmlformats.org/drawingml/2006/main" uri="{28A0092B-C50C-407E-A947-70E740481C1C}">
                          <a14:useLocalDpi val="0"/>
                        </a:ext>
                      </a:extLst>
                    </a:blip>
                    <a:stretch>
                      <a:fillRect/>
                    </a:stretch>
                  </pic:blipFill>
                  <pic:spPr>
                    <a:xfrm>
                      <a:off x="0" y="0"/>
                      <a:ext cx="4572000" cy="3667125"/>
                    </a:xfrm>
                    <a:prstGeom prst="rect">
                      <a:avLst/>
                    </a:prstGeom>
                  </pic:spPr>
                </pic:pic>
              </a:graphicData>
            </a:graphic>
          </wp:inline>
        </w:drawing>
      </w:r>
    </w:p>
    <w:p w:rsidR="74CD247D" w:rsidP="5541A7B4" w:rsidRDefault="74CD247D" w14:paraId="2E6E879A" w14:textId="74B21039">
      <w:pPr>
        <w:spacing w:after="0" w:afterAutospacing="off" w:line="259" w:lineRule="auto"/>
        <w:ind w:left="-20" w:right="-20"/>
        <w:jc w:val="center"/>
        <w:rPr>
          <w:rFonts w:ascii="Arial" w:hAnsi="Arial" w:eastAsia="Arial" w:cs="Arial"/>
          <w:noProof w:val="0"/>
          <w:color w:val="FF0000"/>
          <w:sz w:val="110"/>
          <w:szCs w:val="110"/>
          <w:lang w:val="es-ES"/>
        </w:rPr>
      </w:pPr>
      <w:r w:rsidRPr="5541A7B4" w:rsidR="74CD247D">
        <w:rPr>
          <w:rFonts w:ascii="Arial" w:hAnsi="Arial" w:eastAsia="Arial" w:cs="Arial"/>
          <w:b w:val="1"/>
          <w:bCs w:val="1"/>
          <w:noProof w:val="0"/>
          <w:color w:val="FF0000"/>
          <w:sz w:val="110"/>
          <w:szCs w:val="110"/>
          <w:lang w:val="es-ES"/>
        </w:rPr>
        <w:t>“</w:t>
      </w:r>
    </w:p>
    <w:p w:rsidR="550821F2" w:rsidP="5541A7B4" w:rsidRDefault="550821F2" w14:paraId="7FC32F2A" w14:textId="442A63A4">
      <w:pPr>
        <w:ind w:left="-20" w:right="-20"/>
        <w:jc w:val="center"/>
      </w:pPr>
      <w:r w:rsidRPr="5541A7B4" w:rsidR="550821F2">
        <w:rPr>
          <w:rFonts w:ascii="Arial" w:hAnsi="Arial" w:eastAsia="Arial" w:cs="Arial"/>
          <w:i w:val="1"/>
          <w:iCs w:val="1"/>
          <w:noProof w:val="0"/>
          <w:color w:val="000000" w:themeColor="text1" w:themeTint="FF" w:themeShade="FF"/>
          <w:sz w:val="20"/>
          <w:szCs w:val="20"/>
          <w:lang w:val="es-ES"/>
        </w:rPr>
        <w:t>“</w:t>
      </w:r>
      <w:r w:rsidRPr="5541A7B4" w:rsidR="40670A13">
        <w:rPr>
          <w:rFonts w:ascii="Arial" w:hAnsi="Arial" w:eastAsia="Arial" w:cs="Arial"/>
          <w:i w:val="1"/>
          <w:iCs w:val="1"/>
          <w:noProof w:val="0"/>
          <w:color w:val="000000" w:themeColor="text1" w:themeTint="FF" w:themeShade="FF"/>
          <w:sz w:val="20"/>
          <w:szCs w:val="20"/>
          <w:lang w:val="es-ES"/>
        </w:rPr>
        <w:t>Algunas ideas simples tienen un efecto instantáneo. Otras requieren una gran cantidad de ingenio y habilidad técnica. Este ha sido el caso de SAXEM. Se necesitaron casi dos años de investigación y desarrollo para crear con éxito el color uniforme y homogéneo de este compuesto químico. Aunque tan perfecto y resistente como el zafiro, el acabado es diferente. Esto es algo que los coleccionistas aprecian, ya que el nuevo SAXEM verde captura la esencia de Hublot: primero, único y diferente</w:t>
      </w:r>
      <w:r w:rsidRPr="5541A7B4" w:rsidR="550821F2">
        <w:rPr>
          <w:rFonts w:ascii="Arial" w:hAnsi="Arial" w:eastAsia="Arial" w:cs="Arial"/>
          <w:i w:val="1"/>
          <w:iCs w:val="1"/>
          <w:noProof w:val="0"/>
          <w:color w:val="000000" w:themeColor="text1" w:themeTint="FF" w:themeShade="FF"/>
          <w:sz w:val="20"/>
          <w:szCs w:val="20"/>
          <w:lang w:val="es-ES"/>
        </w:rPr>
        <w:t xml:space="preserve">.” </w:t>
      </w:r>
    </w:p>
    <w:p w:rsidR="2EA6E508" w:rsidP="5541A7B4" w:rsidRDefault="2EA6E508" w14:paraId="4C0B514D" w14:textId="51CD9936">
      <w:pPr>
        <w:spacing w:after="0" w:afterAutospacing="off" w:line="360" w:lineRule="auto"/>
        <w:ind w:left="-20" w:right="-20"/>
        <w:jc w:val="center"/>
        <w:rPr>
          <w:rFonts w:ascii="ArialMT" w:hAnsi="ArialMT" w:eastAsia="ArialMT" w:cs="ArialMT"/>
          <w:b w:val="0"/>
          <w:bCs w:val="0"/>
          <w:i w:val="0"/>
          <w:iCs w:val="0"/>
          <w:caps w:val="0"/>
          <w:smallCaps w:val="0"/>
          <w:noProof w:val="0"/>
          <w:color w:val="000000" w:themeColor="text1" w:themeTint="FF" w:themeShade="FF"/>
          <w:sz w:val="16"/>
          <w:szCs w:val="16"/>
          <w:lang w:val="es-ES"/>
        </w:rPr>
      </w:pPr>
      <w:r w:rsidRPr="5541A7B4" w:rsidR="2EA6E508">
        <w:rPr>
          <w:rFonts w:ascii="ArialMT" w:hAnsi="ArialMT" w:eastAsia="ArialMT" w:cs="ArialMT"/>
          <w:b w:val="0"/>
          <w:bCs w:val="0"/>
          <w:i w:val="0"/>
          <w:iCs w:val="0"/>
          <w:caps w:val="0"/>
          <w:smallCaps w:val="0"/>
          <w:noProof w:val="0"/>
          <w:color w:val="000000" w:themeColor="text1" w:themeTint="FF" w:themeShade="FF"/>
          <w:sz w:val="16"/>
          <w:szCs w:val="16"/>
          <w:lang w:val="es-ES"/>
        </w:rPr>
        <w:t xml:space="preserve">Ricardo Guadalupe </w:t>
      </w:r>
    </w:p>
    <w:p w:rsidR="2EA6E508" w:rsidP="5541A7B4" w:rsidRDefault="2EA6E508" w14:paraId="10909CD5" w14:textId="41E8EF0F">
      <w:pPr>
        <w:spacing w:after="0" w:afterAutospacing="off" w:line="360" w:lineRule="auto"/>
        <w:ind w:left="-20" w:right="-20"/>
        <w:jc w:val="center"/>
        <w:rPr>
          <w:rFonts w:ascii="ArialMT" w:hAnsi="ArialMT" w:eastAsia="ArialMT" w:cs="ArialMT"/>
          <w:b w:val="0"/>
          <w:bCs w:val="0"/>
          <w:i w:val="0"/>
          <w:iCs w:val="0"/>
          <w:caps w:val="0"/>
          <w:smallCaps w:val="0"/>
          <w:noProof w:val="0"/>
          <w:color w:val="000000" w:themeColor="text1" w:themeTint="FF" w:themeShade="FF"/>
          <w:sz w:val="14"/>
          <w:szCs w:val="14"/>
          <w:lang w:val="es-ES"/>
        </w:rPr>
      </w:pPr>
      <w:r w:rsidRPr="5541A7B4" w:rsidR="2EA6E508">
        <w:rPr>
          <w:rFonts w:ascii="ArialMT" w:hAnsi="ArialMT" w:eastAsia="ArialMT" w:cs="ArialMT"/>
          <w:b w:val="0"/>
          <w:bCs w:val="0"/>
          <w:i w:val="0"/>
          <w:iCs w:val="0"/>
          <w:caps w:val="0"/>
          <w:smallCaps w:val="0"/>
          <w:noProof w:val="0"/>
          <w:color w:val="000000" w:themeColor="text1" w:themeTint="FF" w:themeShade="FF"/>
          <w:sz w:val="14"/>
          <w:szCs w:val="14"/>
          <w:lang w:val="es-ES"/>
        </w:rPr>
        <w:t>CEO de HUBLOT</w:t>
      </w:r>
    </w:p>
    <w:p w:rsidR="5541A7B4" w:rsidP="5541A7B4" w:rsidRDefault="5541A7B4" w14:paraId="431450F6" w14:textId="3A2A5C0E">
      <w:pPr>
        <w:pStyle w:val="Normal"/>
        <w:ind w:left="-20" w:right="-20"/>
        <w:jc w:val="center"/>
        <w:rPr>
          <w:rFonts w:ascii="Arial" w:hAnsi="Arial" w:eastAsia="Arial" w:cs="Arial"/>
          <w:i w:val="1"/>
          <w:iCs w:val="1"/>
          <w:noProof w:val="0"/>
          <w:color w:val="000000" w:themeColor="text1" w:themeTint="FF" w:themeShade="FF"/>
          <w:sz w:val="20"/>
          <w:szCs w:val="20"/>
          <w:lang w:val="es-ES"/>
        </w:rPr>
      </w:pPr>
    </w:p>
    <w:p w:rsidR="5541A7B4" w:rsidP="5541A7B4" w:rsidRDefault="5541A7B4" w14:paraId="6F392A0C" w14:textId="4534A4FD">
      <w:pPr>
        <w:pStyle w:val="Normal"/>
        <w:ind w:left="-20" w:right="-20"/>
        <w:jc w:val="center"/>
        <w:rPr>
          <w:rFonts w:ascii="Arial" w:hAnsi="Arial" w:eastAsia="Arial" w:cs="Arial"/>
          <w:i w:val="1"/>
          <w:iCs w:val="1"/>
          <w:noProof w:val="0"/>
          <w:color w:val="000000" w:themeColor="text1" w:themeTint="FF" w:themeShade="FF"/>
          <w:sz w:val="20"/>
          <w:szCs w:val="20"/>
          <w:lang w:val="es-ES"/>
        </w:rPr>
      </w:pPr>
    </w:p>
    <w:p w:rsidR="52614D78" w:rsidP="5541A7B4" w:rsidRDefault="52614D78" w14:paraId="39D4D07B" w14:textId="7BBC0EA5">
      <w:pPr>
        <w:pStyle w:val="Normal"/>
        <w:jc w:val="center"/>
      </w:pPr>
      <w:r w:rsidR="52614D78">
        <w:drawing>
          <wp:inline wp14:editId="45AACBFB" wp14:anchorId="3648F8BE">
            <wp:extent cx="1296793" cy="673144"/>
            <wp:effectExtent l="0" t="0" r="0" b="0"/>
            <wp:docPr id="1343026981" name="" title=""/>
            <wp:cNvGraphicFramePr>
              <a:graphicFrameLocks noChangeAspect="1"/>
            </wp:cNvGraphicFramePr>
            <a:graphic>
              <a:graphicData uri="http://schemas.openxmlformats.org/drawingml/2006/picture">
                <pic:pic>
                  <pic:nvPicPr>
                    <pic:cNvPr id="0" name=""/>
                    <pic:cNvPicPr/>
                  </pic:nvPicPr>
                  <pic:blipFill>
                    <a:blip r:embed="R36b73b03f96e488c">
                      <a:extLst>
                        <a:ext xmlns:a="http://schemas.openxmlformats.org/drawingml/2006/main" uri="{28A0092B-C50C-407E-A947-70E740481C1C}">
                          <a14:useLocalDpi val="0"/>
                        </a:ext>
                      </a:extLst>
                    </a:blip>
                    <a:stretch>
                      <a:fillRect/>
                    </a:stretch>
                  </pic:blipFill>
                  <pic:spPr>
                    <a:xfrm>
                      <a:off x="0" y="0"/>
                      <a:ext cx="1296793" cy="673144"/>
                    </a:xfrm>
                    <a:prstGeom prst="rect">
                      <a:avLst/>
                    </a:prstGeom>
                  </pic:spPr>
                </pic:pic>
              </a:graphicData>
            </a:graphic>
          </wp:inline>
        </w:drawing>
      </w:r>
    </w:p>
    <w:p w:rsidR="224421E9" w:rsidP="5541A7B4" w:rsidRDefault="224421E9" w14:paraId="066DD5CF" w14:textId="01413910">
      <w:pPr>
        <w:ind w:left="-20" w:right="-20"/>
        <w:jc w:val="both"/>
        <w:rPr>
          <w:rFonts w:ascii="ArialMT" w:hAnsi="ArialMT" w:eastAsia="ArialMT" w:cs="ArialMT"/>
          <w:noProof w:val="0"/>
          <w:color w:val="000000" w:themeColor="text1" w:themeTint="FF" w:themeShade="FF"/>
          <w:sz w:val="20"/>
          <w:szCs w:val="20"/>
          <w:lang w:val="es-ES"/>
        </w:rPr>
      </w:pPr>
      <w:r w:rsidRPr="5541A7B4" w:rsidR="224421E9">
        <w:rPr>
          <w:rFonts w:ascii="ArialMT" w:hAnsi="ArialMT" w:eastAsia="ArialMT" w:cs="ArialMT"/>
          <w:noProof w:val="0"/>
          <w:color w:val="000000" w:themeColor="text1" w:themeTint="FF" w:themeShade="FF"/>
          <w:sz w:val="20"/>
          <w:szCs w:val="20"/>
          <w:lang w:val="es-ES"/>
        </w:rPr>
        <w:t>Como primos, puedes</w:t>
      </w:r>
      <w:r w:rsidRPr="5541A7B4" w:rsidR="224421E9">
        <w:rPr>
          <w:rFonts w:ascii="ArialMT" w:hAnsi="ArialMT" w:eastAsia="ArialMT" w:cs="ArialMT"/>
          <w:noProof w:val="0"/>
          <w:color w:val="000000" w:themeColor="text1" w:themeTint="FF" w:themeShade="FF"/>
          <w:sz w:val="20"/>
          <w:szCs w:val="20"/>
          <w:lang w:val="es-ES"/>
        </w:rPr>
        <w:t xml:space="preserve"> not</w:t>
      </w:r>
      <w:r w:rsidRPr="5541A7B4" w:rsidR="224421E9">
        <w:rPr>
          <w:rFonts w:ascii="ArialMT" w:hAnsi="ArialMT" w:eastAsia="ArialMT" w:cs="ArialMT"/>
          <w:noProof w:val="0"/>
          <w:color w:val="000000" w:themeColor="text1" w:themeTint="FF" w:themeShade="FF"/>
          <w:sz w:val="20"/>
          <w:szCs w:val="20"/>
          <w:lang w:val="es-ES"/>
        </w:rPr>
        <w:t>ar que provienen de la misma familia; sin embargo, tienen diferencias notables. Lo mismo se podría decir de la conexión entre el Zafiro y SAXEM, ya que es clara al provenir de la misma línea de Hublot.</w:t>
      </w:r>
      <w:r w:rsidRPr="5541A7B4" w:rsidR="768E2678">
        <w:rPr>
          <w:rFonts w:ascii="ArialMT" w:hAnsi="ArialMT" w:eastAsia="ArialMT" w:cs="ArialMT"/>
          <w:noProof w:val="0"/>
          <w:color w:val="000000" w:themeColor="text1" w:themeTint="FF" w:themeShade="FF"/>
          <w:sz w:val="20"/>
          <w:szCs w:val="20"/>
          <w:lang w:val="es-ES"/>
        </w:rPr>
        <w:t xml:space="preserve"> La Manufactura en </w:t>
      </w:r>
      <w:r w:rsidRPr="5541A7B4" w:rsidR="768E2678">
        <w:rPr>
          <w:rFonts w:ascii="ArialMT" w:hAnsi="ArialMT" w:eastAsia="ArialMT" w:cs="ArialMT"/>
          <w:noProof w:val="0"/>
          <w:color w:val="000000" w:themeColor="text1" w:themeTint="FF" w:themeShade="FF"/>
          <w:sz w:val="20"/>
          <w:szCs w:val="20"/>
          <w:lang w:val="es-ES"/>
        </w:rPr>
        <w:t>Nyon</w:t>
      </w:r>
      <w:r w:rsidRPr="5541A7B4" w:rsidR="768E2678">
        <w:rPr>
          <w:rFonts w:ascii="ArialMT" w:hAnsi="ArialMT" w:eastAsia="ArialMT" w:cs="ArialMT"/>
          <w:noProof w:val="0"/>
          <w:color w:val="000000" w:themeColor="text1" w:themeTint="FF" w:themeShade="FF"/>
          <w:sz w:val="20"/>
          <w:szCs w:val="20"/>
          <w:lang w:val="es-ES"/>
        </w:rPr>
        <w:t xml:space="preserve"> se le atribuye haberlos llevado a ambos al siglo XXI, hasta el punto de establecerlos como materiales distintivos. Aun así, sus perfiles son bastante distintos. El zafiro es de óxido de aluminio, al que se le añaden óxidos metálicos para dar color. En contraste, el SAXEM está coloreado con elementos de tierras raras. El zafiro tiene una estructura trigonal (de tres lados), mientras que el SAXEM tiene una forma cúbica (de cuatro lados)</w:t>
      </w:r>
      <w:r w:rsidRPr="5541A7B4" w:rsidR="583895A5">
        <w:rPr>
          <w:rFonts w:ascii="ArialMT" w:hAnsi="ArialMT" w:eastAsia="ArialMT" w:cs="ArialMT"/>
          <w:noProof w:val="0"/>
          <w:color w:val="000000" w:themeColor="text1" w:themeTint="FF" w:themeShade="FF"/>
          <w:sz w:val="20"/>
          <w:szCs w:val="20"/>
          <w:lang w:val="es-ES"/>
        </w:rPr>
        <w:t>.</w:t>
      </w:r>
    </w:p>
    <w:p w:rsidR="4DD754FC" w:rsidP="5541A7B4" w:rsidRDefault="4DD754FC" w14:paraId="129162F7" w14:textId="28A5B6E4">
      <w:pPr>
        <w:ind w:left="-20" w:right="-20"/>
        <w:jc w:val="both"/>
      </w:pPr>
      <w:r w:rsidRPr="5541A7B4" w:rsidR="4DD754FC">
        <w:rPr>
          <w:rFonts w:ascii="ArialMT" w:hAnsi="ArialMT" w:eastAsia="ArialMT" w:cs="ArialMT"/>
          <w:noProof w:val="0"/>
          <w:color w:val="000000" w:themeColor="text1" w:themeTint="FF" w:themeShade="FF"/>
          <w:sz w:val="20"/>
          <w:szCs w:val="20"/>
          <w:lang w:val="es-ES"/>
        </w:rPr>
        <w:t>¿</w:t>
      </w:r>
      <w:r w:rsidRPr="5541A7B4" w:rsidR="4397F425">
        <w:rPr>
          <w:rFonts w:ascii="ArialMT" w:hAnsi="ArialMT" w:eastAsia="ArialMT" w:cs="ArialMT"/>
          <w:noProof w:val="0"/>
          <w:color w:val="000000" w:themeColor="text1" w:themeTint="FF" w:themeShade="FF"/>
          <w:sz w:val="20"/>
          <w:szCs w:val="20"/>
          <w:lang w:val="es-ES"/>
        </w:rPr>
        <w:t>Elementos químicos</w:t>
      </w:r>
      <w:r w:rsidRPr="5541A7B4" w:rsidR="3DB261A2">
        <w:rPr>
          <w:rFonts w:ascii="ArialMT" w:hAnsi="ArialMT" w:eastAsia="ArialMT" w:cs="ArialMT"/>
          <w:noProof w:val="0"/>
          <w:color w:val="000000" w:themeColor="text1" w:themeTint="FF" w:themeShade="FF"/>
          <w:sz w:val="20"/>
          <w:szCs w:val="20"/>
          <w:lang w:val="es-ES"/>
        </w:rPr>
        <w:t>?</w:t>
      </w:r>
      <w:r w:rsidRPr="5541A7B4" w:rsidR="4397F425">
        <w:rPr>
          <w:rFonts w:ascii="ArialMT" w:hAnsi="ArialMT" w:eastAsia="ArialMT" w:cs="ArialMT"/>
          <w:noProof w:val="0"/>
          <w:color w:val="000000" w:themeColor="text1" w:themeTint="FF" w:themeShade="FF"/>
          <w:sz w:val="20"/>
          <w:szCs w:val="20"/>
          <w:lang w:val="es-ES"/>
        </w:rPr>
        <w:t xml:space="preserve"> tal vez, pero desde que </w:t>
      </w:r>
      <w:r w:rsidRPr="5541A7B4" w:rsidR="4397F425">
        <w:rPr>
          <w:rFonts w:ascii="ArialMT" w:hAnsi="ArialMT" w:eastAsia="ArialMT" w:cs="ArialMT"/>
          <w:noProof w:val="0"/>
          <w:color w:val="000000" w:themeColor="text1" w:themeTint="FF" w:themeShade="FF"/>
          <w:sz w:val="20"/>
          <w:szCs w:val="20"/>
          <w:lang w:val="es-ES"/>
        </w:rPr>
        <w:t>Hublot</w:t>
      </w:r>
      <w:r w:rsidRPr="5541A7B4" w:rsidR="4397F425">
        <w:rPr>
          <w:rFonts w:ascii="ArialMT" w:hAnsi="ArialMT" w:eastAsia="ArialMT" w:cs="ArialMT"/>
          <w:noProof w:val="0"/>
          <w:color w:val="000000" w:themeColor="text1" w:themeTint="FF" w:themeShade="FF"/>
          <w:sz w:val="20"/>
          <w:szCs w:val="20"/>
          <w:lang w:val="es-ES"/>
        </w:rPr>
        <w:t xml:space="preserve"> se estableció como una Manufactura integrada, la investigación y desarrollo (R&amp;D) ha sido el enfoque clave de sus operaciones. Esto fue cierto cuando se inauguró la Manufactura de </w:t>
      </w:r>
      <w:r w:rsidRPr="5541A7B4" w:rsidR="4397F425">
        <w:rPr>
          <w:rFonts w:ascii="ArialMT" w:hAnsi="ArialMT" w:eastAsia="ArialMT" w:cs="ArialMT"/>
          <w:noProof w:val="0"/>
          <w:color w:val="000000" w:themeColor="text1" w:themeTint="FF" w:themeShade="FF"/>
          <w:sz w:val="20"/>
          <w:szCs w:val="20"/>
          <w:lang w:val="es-ES"/>
        </w:rPr>
        <w:t>Nyon</w:t>
      </w:r>
      <w:r w:rsidRPr="5541A7B4" w:rsidR="4397F425">
        <w:rPr>
          <w:rFonts w:ascii="ArialMT" w:hAnsi="ArialMT" w:eastAsia="ArialMT" w:cs="ArialMT"/>
          <w:noProof w:val="0"/>
          <w:color w:val="000000" w:themeColor="text1" w:themeTint="FF" w:themeShade="FF"/>
          <w:sz w:val="20"/>
          <w:szCs w:val="20"/>
          <w:lang w:val="es-ES"/>
        </w:rPr>
        <w:t xml:space="preserve"> en 2009 y, 15 años después, sigue siendo así hoy en día. El nuevo </w:t>
      </w:r>
      <w:r w:rsidRPr="5541A7B4" w:rsidR="4397F425">
        <w:rPr>
          <w:rFonts w:ascii="ArialMT" w:hAnsi="ArialMT" w:eastAsia="ArialMT" w:cs="ArialMT"/>
          <w:b w:val="1"/>
          <w:bCs w:val="1"/>
          <w:noProof w:val="0"/>
          <w:color w:val="000000" w:themeColor="text1" w:themeTint="FF" w:themeShade="FF"/>
          <w:sz w:val="20"/>
          <w:szCs w:val="20"/>
          <w:lang w:val="es-ES"/>
        </w:rPr>
        <w:t xml:space="preserve">Big </w:t>
      </w:r>
      <w:r w:rsidRPr="5541A7B4" w:rsidR="4397F425">
        <w:rPr>
          <w:rFonts w:ascii="ArialMT" w:hAnsi="ArialMT" w:eastAsia="ArialMT" w:cs="ArialMT"/>
          <w:b w:val="1"/>
          <w:bCs w:val="1"/>
          <w:noProof w:val="0"/>
          <w:color w:val="000000" w:themeColor="text1" w:themeTint="FF" w:themeShade="FF"/>
          <w:sz w:val="20"/>
          <w:szCs w:val="20"/>
          <w:lang w:val="es-ES"/>
        </w:rPr>
        <w:t>Bang</w:t>
      </w:r>
      <w:r w:rsidRPr="5541A7B4" w:rsidR="4397F425">
        <w:rPr>
          <w:rFonts w:ascii="ArialMT" w:hAnsi="ArialMT" w:eastAsia="ArialMT" w:cs="ArialMT"/>
          <w:b w:val="1"/>
          <w:bCs w:val="1"/>
          <w:noProof w:val="0"/>
          <w:color w:val="000000" w:themeColor="text1" w:themeTint="FF" w:themeShade="FF"/>
          <w:sz w:val="20"/>
          <w:szCs w:val="20"/>
          <w:lang w:val="es-ES"/>
        </w:rPr>
        <w:t xml:space="preserve"> </w:t>
      </w:r>
      <w:r w:rsidRPr="5541A7B4" w:rsidR="4397F425">
        <w:rPr>
          <w:rFonts w:ascii="ArialMT" w:hAnsi="ArialMT" w:eastAsia="ArialMT" w:cs="ArialMT"/>
          <w:b w:val="1"/>
          <w:bCs w:val="1"/>
          <w:noProof w:val="0"/>
          <w:color w:val="000000" w:themeColor="text1" w:themeTint="FF" w:themeShade="FF"/>
          <w:sz w:val="20"/>
          <w:szCs w:val="20"/>
          <w:lang w:val="es-ES"/>
        </w:rPr>
        <w:t>Unico</w:t>
      </w:r>
      <w:r w:rsidRPr="5541A7B4" w:rsidR="4397F425">
        <w:rPr>
          <w:rFonts w:ascii="ArialMT" w:hAnsi="ArialMT" w:eastAsia="ArialMT" w:cs="ArialMT"/>
          <w:b w:val="1"/>
          <w:bCs w:val="1"/>
          <w:noProof w:val="0"/>
          <w:color w:val="000000" w:themeColor="text1" w:themeTint="FF" w:themeShade="FF"/>
          <w:sz w:val="20"/>
          <w:szCs w:val="20"/>
          <w:lang w:val="es-ES"/>
        </w:rPr>
        <w:t xml:space="preserve"> Green SAXEM </w:t>
      </w:r>
      <w:r w:rsidRPr="5541A7B4" w:rsidR="4397F425">
        <w:rPr>
          <w:rFonts w:ascii="ArialMT" w:hAnsi="ArialMT" w:eastAsia="ArialMT" w:cs="ArialMT"/>
          <w:noProof w:val="0"/>
          <w:color w:val="000000" w:themeColor="text1" w:themeTint="FF" w:themeShade="FF"/>
          <w:sz w:val="20"/>
          <w:szCs w:val="20"/>
          <w:lang w:val="es-ES"/>
        </w:rPr>
        <w:t>es una prueba adicional</w:t>
      </w:r>
      <w:r w:rsidRPr="5541A7B4" w:rsidR="11140A15">
        <w:rPr>
          <w:rFonts w:ascii="ArialMT" w:hAnsi="ArialMT" w:eastAsia="ArialMT" w:cs="ArialMT"/>
          <w:noProof w:val="0"/>
          <w:color w:val="000000" w:themeColor="text1" w:themeTint="FF" w:themeShade="FF"/>
          <w:sz w:val="20"/>
          <w:szCs w:val="20"/>
          <w:lang w:val="es-ES"/>
        </w:rPr>
        <w:t>.</w:t>
      </w:r>
    </w:p>
    <w:p w:rsidR="3B502396" w:rsidP="5541A7B4" w:rsidRDefault="3B502396" w14:paraId="4BFCFA65" w14:textId="5E7B4C83">
      <w:pPr>
        <w:ind w:left="-20" w:right="-20"/>
        <w:jc w:val="both"/>
      </w:pPr>
      <w:r w:rsidRPr="5541A7B4" w:rsidR="3B502396">
        <w:rPr>
          <w:rFonts w:ascii="ArialMT" w:hAnsi="ArialMT" w:eastAsia="ArialMT" w:cs="ArialMT"/>
          <w:noProof w:val="0"/>
          <w:color w:val="000000" w:themeColor="text1" w:themeTint="FF" w:themeShade="FF"/>
          <w:sz w:val="20"/>
          <w:szCs w:val="20"/>
          <w:lang w:val="es-ES"/>
        </w:rPr>
        <w:t xml:space="preserve">Crear una tonalidad sin precedentes de SAXEM es un proceso desafiante. Es un proceso en el que </w:t>
      </w:r>
      <w:r w:rsidRPr="5541A7B4" w:rsidR="3B502396">
        <w:rPr>
          <w:rFonts w:ascii="ArialMT" w:hAnsi="ArialMT" w:eastAsia="ArialMT" w:cs="ArialMT"/>
          <w:noProof w:val="0"/>
          <w:color w:val="000000" w:themeColor="text1" w:themeTint="FF" w:themeShade="FF"/>
          <w:sz w:val="20"/>
          <w:szCs w:val="20"/>
          <w:lang w:val="es-ES"/>
        </w:rPr>
        <w:t>Hublot</w:t>
      </w:r>
      <w:r w:rsidRPr="5541A7B4" w:rsidR="3B502396">
        <w:rPr>
          <w:rFonts w:ascii="ArialMT" w:hAnsi="ArialMT" w:eastAsia="ArialMT" w:cs="ArialMT"/>
          <w:noProof w:val="0"/>
          <w:color w:val="000000" w:themeColor="text1" w:themeTint="FF" w:themeShade="FF"/>
          <w:sz w:val="20"/>
          <w:szCs w:val="20"/>
          <w:lang w:val="es-ES"/>
        </w:rPr>
        <w:t xml:space="preserve"> ha estado trabajando desde 2019, cuando se introdujo por primera vez para el Big </w:t>
      </w:r>
      <w:r w:rsidRPr="5541A7B4" w:rsidR="3B502396">
        <w:rPr>
          <w:rFonts w:ascii="ArialMT" w:hAnsi="ArialMT" w:eastAsia="ArialMT" w:cs="ArialMT"/>
          <w:noProof w:val="0"/>
          <w:color w:val="000000" w:themeColor="text1" w:themeTint="FF" w:themeShade="FF"/>
          <w:sz w:val="20"/>
          <w:szCs w:val="20"/>
          <w:lang w:val="es-ES"/>
        </w:rPr>
        <w:t>Bang</w:t>
      </w:r>
      <w:r w:rsidRPr="5541A7B4" w:rsidR="3B502396">
        <w:rPr>
          <w:rFonts w:ascii="ArialMT" w:hAnsi="ArialMT" w:eastAsia="ArialMT" w:cs="ArialMT"/>
          <w:noProof w:val="0"/>
          <w:color w:val="000000" w:themeColor="text1" w:themeTint="FF" w:themeShade="FF"/>
          <w:sz w:val="20"/>
          <w:szCs w:val="20"/>
          <w:lang w:val="es-ES"/>
        </w:rPr>
        <w:t xml:space="preserve"> MP-11. Desde entonces, la Manufactura ha desarrollado dos tonalidades: amarilla y esmeralda. Aunque tan resistente como el zafiro, tiene un brillo diferente, más luminoso. Su estructura tiene menos tensiones, es más uniforme y sin costuras. </w:t>
      </w:r>
      <w:r w:rsidRPr="5541A7B4" w:rsidR="3B502396">
        <w:rPr>
          <w:rFonts w:ascii="ArialMT" w:hAnsi="ArialMT" w:eastAsia="ArialMT" w:cs="ArialMT"/>
          <w:noProof w:val="0"/>
          <w:color w:val="000000" w:themeColor="text1" w:themeTint="FF" w:themeShade="FF"/>
          <w:sz w:val="20"/>
          <w:szCs w:val="20"/>
          <w:lang w:val="es-ES"/>
        </w:rPr>
        <w:t>Hublot</w:t>
      </w:r>
      <w:r w:rsidRPr="5541A7B4" w:rsidR="3B502396">
        <w:rPr>
          <w:rFonts w:ascii="ArialMT" w:hAnsi="ArialMT" w:eastAsia="ArialMT" w:cs="ArialMT"/>
          <w:noProof w:val="0"/>
          <w:color w:val="000000" w:themeColor="text1" w:themeTint="FF" w:themeShade="FF"/>
          <w:sz w:val="20"/>
          <w:szCs w:val="20"/>
          <w:lang w:val="es-ES"/>
        </w:rPr>
        <w:t xml:space="preserve"> está explorando el futuro con un SAXEM que ofrece nuevas perspectivas técnicas y estéticas</w:t>
      </w:r>
      <w:r w:rsidRPr="5541A7B4" w:rsidR="668B0A50">
        <w:rPr>
          <w:rFonts w:ascii="ArialMT" w:hAnsi="ArialMT" w:eastAsia="ArialMT" w:cs="ArialMT"/>
          <w:noProof w:val="0"/>
          <w:color w:val="000000" w:themeColor="text1" w:themeTint="FF" w:themeShade="FF"/>
          <w:sz w:val="20"/>
          <w:szCs w:val="20"/>
          <w:lang w:val="es-ES"/>
        </w:rPr>
        <w:t>.</w:t>
      </w:r>
      <w:r w:rsidRPr="5541A7B4" w:rsidR="3B502396">
        <w:rPr>
          <w:rFonts w:ascii="ArialMT" w:hAnsi="ArialMT" w:eastAsia="ArialMT" w:cs="ArialMT"/>
          <w:noProof w:val="0"/>
          <w:color w:val="000000" w:themeColor="text1" w:themeTint="FF" w:themeShade="FF"/>
          <w:sz w:val="20"/>
          <w:szCs w:val="20"/>
          <w:lang w:val="es-ES"/>
        </w:rPr>
        <w:t xml:space="preserve"> </w:t>
      </w:r>
    </w:p>
    <w:p w:rsidR="20C7702D" w:rsidP="5541A7B4" w:rsidRDefault="20C7702D" w14:paraId="321B8223" w14:textId="3B51C4E8">
      <w:pPr>
        <w:ind w:left="-20" w:right="-20"/>
        <w:jc w:val="both"/>
      </w:pPr>
      <w:r w:rsidRPr="5541A7B4" w:rsidR="20C7702D">
        <w:rPr>
          <w:rFonts w:ascii="ArialMT" w:hAnsi="ArialMT" w:eastAsia="ArialMT" w:cs="ArialMT"/>
          <w:noProof w:val="0"/>
          <w:color w:val="000000" w:themeColor="text1" w:themeTint="FF" w:themeShade="FF"/>
          <w:sz w:val="20"/>
          <w:szCs w:val="20"/>
          <w:lang w:val="es-ES"/>
        </w:rPr>
        <w:t xml:space="preserve">El Green SAXEM del nuevo Big Bang UNICO destaca varias de estas innovaciones. La caja de 42 mm es sólida y robusta. Concentra toda la potencia del SAXEM en un diámetro denso y compacto. El material no recibe luz, pero crea la ilusión de emitirla. El Green SAXEM se difunde en los contornos más pequeños de la caja y el bisel, los cuales están adornados con seis icónicos tornillos en forma de H de titanio de Hublot. El sistema </w:t>
      </w:r>
      <w:r w:rsidRPr="5541A7B4" w:rsidR="5B931543">
        <w:rPr>
          <w:rFonts w:ascii="ArialMT" w:hAnsi="ArialMT" w:eastAsia="ArialMT" w:cs="ArialMT"/>
          <w:noProof w:val="0"/>
          <w:color w:val="000000" w:themeColor="text1" w:themeTint="FF" w:themeShade="FF"/>
          <w:sz w:val="20"/>
          <w:szCs w:val="20"/>
          <w:lang w:val="es-ES"/>
        </w:rPr>
        <w:t>“</w:t>
      </w:r>
      <w:r w:rsidRPr="5541A7B4" w:rsidR="20C7702D">
        <w:rPr>
          <w:rFonts w:ascii="ArialMT" w:hAnsi="ArialMT" w:eastAsia="ArialMT" w:cs="ArialMT"/>
          <w:noProof w:val="0"/>
          <w:color w:val="000000" w:themeColor="text1" w:themeTint="FF" w:themeShade="FF"/>
          <w:sz w:val="20"/>
          <w:szCs w:val="20"/>
          <w:lang w:val="es-ES"/>
        </w:rPr>
        <w:t xml:space="preserve">One </w:t>
      </w:r>
      <w:r w:rsidRPr="5541A7B4" w:rsidR="20C7702D">
        <w:rPr>
          <w:rFonts w:ascii="ArialMT" w:hAnsi="ArialMT" w:eastAsia="ArialMT" w:cs="ArialMT"/>
          <w:noProof w:val="0"/>
          <w:color w:val="000000" w:themeColor="text1" w:themeTint="FF" w:themeShade="FF"/>
          <w:sz w:val="20"/>
          <w:szCs w:val="20"/>
          <w:lang w:val="es-ES"/>
        </w:rPr>
        <w:t>Click</w:t>
      </w:r>
      <w:r w:rsidRPr="5541A7B4" w:rsidR="2FFBD09B">
        <w:rPr>
          <w:rFonts w:ascii="ArialMT" w:hAnsi="ArialMT" w:eastAsia="ArialMT" w:cs="ArialMT"/>
          <w:noProof w:val="0"/>
          <w:color w:val="000000" w:themeColor="text1" w:themeTint="FF" w:themeShade="FF"/>
          <w:sz w:val="20"/>
          <w:szCs w:val="20"/>
          <w:lang w:val="es-ES"/>
        </w:rPr>
        <w:t>”</w:t>
      </w:r>
      <w:r w:rsidRPr="5541A7B4" w:rsidR="20C7702D">
        <w:rPr>
          <w:rFonts w:ascii="ArialMT" w:hAnsi="ArialMT" w:eastAsia="ArialMT" w:cs="ArialMT"/>
          <w:noProof w:val="0"/>
          <w:color w:val="000000" w:themeColor="text1" w:themeTint="FF" w:themeShade="FF"/>
          <w:sz w:val="20"/>
          <w:szCs w:val="20"/>
          <w:lang w:val="es-ES"/>
        </w:rPr>
        <w:t xml:space="preserve"> patentado por </w:t>
      </w:r>
      <w:r w:rsidRPr="5541A7B4" w:rsidR="20C7702D">
        <w:rPr>
          <w:rFonts w:ascii="ArialMT" w:hAnsi="ArialMT" w:eastAsia="ArialMT" w:cs="ArialMT"/>
          <w:noProof w:val="0"/>
          <w:color w:val="000000" w:themeColor="text1" w:themeTint="FF" w:themeShade="FF"/>
          <w:sz w:val="20"/>
          <w:szCs w:val="20"/>
          <w:lang w:val="es-ES"/>
        </w:rPr>
        <w:t>Hublot</w:t>
      </w:r>
      <w:r w:rsidRPr="5541A7B4" w:rsidR="20C7702D">
        <w:rPr>
          <w:rFonts w:ascii="ArialMT" w:hAnsi="ArialMT" w:eastAsia="ArialMT" w:cs="ArialMT"/>
          <w:noProof w:val="0"/>
          <w:color w:val="000000" w:themeColor="text1" w:themeTint="FF" w:themeShade="FF"/>
          <w:sz w:val="20"/>
          <w:szCs w:val="20"/>
          <w:lang w:val="es-ES"/>
        </w:rPr>
        <w:t xml:space="preserve"> para sus correas intercambiables se encuentra a las 12 y las 6 en punto. </w:t>
      </w:r>
    </w:p>
    <w:p w:rsidR="73D0E81F" w:rsidP="5541A7B4" w:rsidRDefault="73D0E81F" w14:paraId="5B2188D6" w14:textId="53D088E9">
      <w:pPr>
        <w:ind w:left="-20" w:right="-20"/>
        <w:jc w:val="both"/>
      </w:pPr>
      <w:r w:rsidRPr="5541A7B4" w:rsidR="73D0E81F">
        <w:rPr>
          <w:rFonts w:ascii="ArialMT" w:hAnsi="ArialMT" w:eastAsia="ArialMT" w:cs="ArialMT"/>
          <w:noProof w:val="0"/>
          <w:color w:val="000000" w:themeColor="text1" w:themeTint="FF" w:themeShade="FF"/>
          <w:sz w:val="20"/>
          <w:szCs w:val="20"/>
          <w:lang w:val="es-ES"/>
        </w:rPr>
        <w:t xml:space="preserve">Para el movimiento, </w:t>
      </w:r>
      <w:r w:rsidRPr="5541A7B4" w:rsidR="73D0E81F">
        <w:rPr>
          <w:rFonts w:ascii="ArialMT" w:hAnsi="ArialMT" w:eastAsia="ArialMT" w:cs="ArialMT"/>
          <w:noProof w:val="0"/>
          <w:color w:val="000000" w:themeColor="text1" w:themeTint="FF" w:themeShade="FF"/>
          <w:sz w:val="20"/>
          <w:szCs w:val="20"/>
          <w:lang w:val="es-ES"/>
        </w:rPr>
        <w:t>Hublot</w:t>
      </w:r>
      <w:r w:rsidRPr="5541A7B4" w:rsidR="73D0E81F">
        <w:rPr>
          <w:rFonts w:ascii="ArialMT" w:hAnsi="ArialMT" w:eastAsia="ArialMT" w:cs="ArialMT"/>
          <w:noProof w:val="0"/>
          <w:color w:val="000000" w:themeColor="text1" w:themeTint="FF" w:themeShade="FF"/>
          <w:sz w:val="20"/>
          <w:szCs w:val="20"/>
          <w:lang w:val="es-ES"/>
        </w:rPr>
        <w:t xml:space="preserve"> ha optado por otro diseño de Manufactura: el calibre UNICO 2, un cronógrafo </w:t>
      </w:r>
      <w:r w:rsidRPr="5541A7B4" w:rsidR="73D0E81F">
        <w:rPr>
          <w:rFonts w:ascii="ArialMT" w:hAnsi="ArialMT" w:eastAsia="ArialMT" w:cs="ArialMT"/>
          <w:i w:val="1"/>
          <w:iCs w:val="1"/>
          <w:noProof w:val="0"/>
          <w:color w:val="000000" w:themeColor="text1" w:themeTint="FF" w:themeShade="FF"/>
          <w:sz w:val="20"/>
          <w:szCs w:val="20"/>
          <w:lang w:val="es-ES"/>
        </w:rPr>
        <w:t>flyback</w:t>
      </w:r>
      <w:r w:rsidRPr="5541A7B4" w:rsidR="73D0E81F">
        <w:rPr>
          <w:rFonts w:ascii="ArialMT" w:hAnsi="ArialMT" w:eastAsia="ArialMT" w:cs="ArialMT"/>
          <w:i w:val="1"/>
          <w:iCs w:val="1"/>
          <w:noProof w:val="0"/>
          <w:color w:val="000000" w:themeColor="text1" w:themeTint="FF" w:themeShade="FF"/>
          <w:sz w:val="20"/>
          <w:szCs w:val="20"/>
          <w:lang w:val="es-ES"/>
        </w:rPr>
        <w:t xml:space="preserve"> </w:t>
      </w:r>
      <w:r w:rsidRPr="5541A7B4" w:rsidR="73D0E81F">
        <w:rPr>
          <w:rFonts w:ascii="ArialMT" w:hAnsi="ArialMT" w:eastAsia="ArialMT" w:cs="ArialMT"/>
          <w:noProof w:val="0"/>
          <w:color w:val="000000" w:themeColor="text1" w:themeTint="FF" w:themeShade="FF"/>
          <w:sz w:val="20"/>
          <w:szCs w:val="20"/>
          <w:lang w:val="es-ES"/>
        </w:rPr>
        <w:t xml:space="preserve">de nueva generación, el HUB1280. Esto es innovador, ya que el </w:t>
      </w:r>
      <w:r w:rsidRPr="5541A7B4" w:rsidR="73D0E81F">
        <w:rPr>
          <w:rFonts w:ascii="ArialMT" w:hAnsi="ArialMT" w:eastAsia="ArialMT" w:cs="ArialMT"/>
          <w:noProof w:val="0"/>
          <w:color w:val="000000" w:themeColor="text1" w:themeTint="FF" w:themeShade="FF"/>
          <w:sz w:val="20"/>
          <w:szCs w:val="20"/>
          <w:lang w:val="es-ES"/>
        </w:rPr>
        <w:t>micro-rotor</w:t>
      </w:r>
      <w:r w:rsidRPr="5541A7B4" w:rsidR="73D0E81F">
        <w:rPr>
          <w:rFonts w:ascii="ArialMT" w:hAnsi="ArialMT" w:eastAsia="ArialMT" w:cs="ArialMT"/>
          <w:noProof w:val="0"/>
          <w:color w:val="000000" w:themeColor="text1" w:themeTint="FF" w:themeShade="FF"/>
          <w:sz w:val="20"/>
          <w:szCs w:val="20"/>
          <w:lang w:val="es-ES"/>
        </w:rPr>
        <w:t xml:space="preserve"> HUB6035 impulsaba el anterior Big </w:t>
      </w:r>
      <w:r w:rsidRPr="5541A7B4" w:rsidR="73D0E81F">
        <w:rPr>
          <w:rFonts w:ascii="ArialMT" w:hAnsi="ArialMT" w:eastAsia="ArialMT" w:cs="ArialMT"/>
          <w:noProof w:val="0"/>
          <w:color w:val="000000" w:themeColor="text1" w:themeTint="FF" w:themeShade="FF"/>
          <w:sz w:val="20"/>
          <w:szCs w:val="20"/>
          <w:lang w:val="es-ES"/>
        </w:rPr>
        <w:t>Bang</w:t>
      </w:r>
      <w:r w:rsidRPr="5541A7B4" w:rsidR="73D0E81F">
        <w:rPr>
          <w:rFonts w:ascii="ArialMT" w:hAnsi="ArialMT" w:eastAsia="ArialMT" w:cs="ArialMT"/>
          <w:noProof w:val="0"/>
          <w:color w:val="000000" w:themeColor="text1" w:themeTint="FF" w:themeShade="FF"/>
          <w:sz w:val="20"/>
          <w:szCs w:val="20"/>
          <w:lang w:val="es-ES"/>
        </w:rPr>
        <w:t xml:space="preserve"> SAXEM. El movimiento sigue siendo de carga automática, pero ahora ofrece a los coleccionistas el beneficio adicional de un peso oscilante de tungsteno de alto rendimiento, visible a través de la parte trasera de la caja del Green SAXEM</w:t>
      </w:r>
      <w:r w:rsidRPr="5541A7B4" w:rsidR="24DC6C46">
        <w:rPr>
          <w:rFonts w:ascii="ArialMT" w:hAnsi="ArialMT" w:eastAsia="ArialMT" w:cs="ArialMT"/>
          <w:noProof w:val="0"/>
          <w:color w:val="000000" w:themeColor="text1" w:themeTint="FF" w:themeShade="FF"/>
          <w:sz w:val="20"/>
          <w:szCs w:val="20"/>
          <w:lang w:val="es-ES"/>
        </w:rPr>
        <w:t>.</w:t>
      </w:r>
      <w:r w:rsidRPr="5541A7B4" w:rsidR="73D0E81F">
        <w:rPr>
          <w:rFonts w:ascii="ArialMT" w:hAnsi="ArialMT" w:eastAsia="ArialMT" w:cs="ArialMT"/>
          <w:noProof w:val="0"/>
          <w:color w:val="000000" w:themeColor="text1" w:themeTint="FF" w:themeShade="FF"/>
          <w:sz w:val="20"/>
          <w:szCs w:val="20"/>
          <w:lang w:val="es-ES"/>
        </w:rPr>
        <w:t xml:space="preserve"> </w:t>
      </w:r>
    </w:p>
    <w:p w:rsidR="73D0E81F" w:rsidP="5541A7B4" w:rsidRDefault="73D0E81F" w14:paraId="440EBB2F" w14:textId="3D1EDC4B">
      <w:pPr>
        <w:ind w:left="-20" w:right="-20"/>
        <w:jc w:val="both"/>
      </w:pPr>
      <w:r w:rsidRPr="5541A7B4" w:rsidR="73D0E81F">
        <w:rPr>
          <w:rFonts w:ascii="ArialMT" w:hAnsi="ArialMT" w:eastAsia="ArialMT" w:cs="ArialMT"/>
          <w:noProof w:val="0"/>
          <w:color w:val="000000" w:themeColor="text1" w:themeTint="FF" w:themeShade="FF"/>
          <w:sz w:val="20"/>
          <w:szCs w:val="20"/>
          <w:lang w:val="es-ES"/>
        </w:rPr>
        <w:t xml:space="preserve">Al combinar tecnología avanzada y un diseño robusto, el calibre HUB1280 presenta la emblemática rueda de columna a las </w:t>
      </w:r>
      <w:r w:rsidRPr="5541A7B4" w:rsidR="22D075B3">
        <w:rPr>
          <w:rFonts w:ascii="ArialMT" w:hAnsi="ArialMT" w:eastAsia="ArialMT" w:cs="ArialMT"/>
          <w:noProof w:val="0"/>
          <w:color w:val="000000" w:themeColor="text1" w:themeTint="FF" w:themeShade="FF"/>
          <w:sz w:val="20"/>
          <w:szCs w:val="20"/>
          <w:lang w:val="es-ES"/>
        </w:rPr>
        <w:t>seis</w:t>
      </w:r>
      <w:r w:rsidRPr="5541A7B4" w:rsidR="73D0E81F">
        <w:rPr>
          <w:rFonts w:ascii="ArialMT" w:hAnsi="ArialMT" w:eastAsia="ArialMT" w:cs="ArialMT"/>
          <w:noProof w:val="0"/>
          <w:color w:val="000000" w:themeColor="text1" w:themeTint="FF" w:themeShade="FF"/>
          <w:sz w:val="20"/>
          <w:szCs w:val="20"/>
          <w:lang w:val="es-ES"/>
        </w:rPr>
        <w:t xml:space="preserve"> en punto, firma técnica y estética de UNICO. Otro aspecto distintivo es el disco de fecha, completamente visible alrededor del movimiento, con la apertura ubicada en el centro del contador de 60 minutos a las </w:t>
      </w:r>
      <w:r w:rsidRPr="5541A7B4" w:rsidR="3D1A7D80">
        <w:rPr>
          <w:rFonts w:ascii="ArialMT" w:hAnsi="ArialMT" w:eastAsia="ArialMT" w:cs="ArialMT"/>
          <w:noProof w:val="0"/>
          <w:color w:val="000000" w:themeColor="text1" w:themeTint="FF" w:themeShade="FF"/>
          <w:sz w:val="20"/>
          <w:szCs w:val="20"/>
          <w:lang w:val="es-ES"/>
        </w:rPr>
        <w:t>tres</w:t>
      </w:r>
      <w:r w:rsidRPr="5541A7B4" w:rsidR="73D0E81F">
        <w:rPr>
          <w:rFonts w:ascii="ArialMT" w:hAnsi="ArialMT" w:eastAsia="ArialMT" w:cs="ArialMT"/>
          <w:noProof w:val="0"/>
          <w:color w:val="000000" w:themeColor="text1" w:themeTint="FF" w:themeShade="FF"/>
          <w:sz w:val="20"/>
          <w:szCs w:val="20"/>
          <w:lang w:val="es-ES"/>
        </w:rPr>
        <w:t xml:space="preserve"> en punto</w:t>
      </w:r>
      <w:r w:rsidRPr="5541A7B4" w:rsidR="6905D768">
        <w:rPr>
          <w:rFonts w:ascii="ArialMT" w:hAnsi="ArialMT" w:eastAsia="ArialMT" w:cs="ArialMT"/>
          <w:noProof w:val="0"/>
          <w:color w:val="000000" w:themeColor="text1" w:themeTint="FF" w:themeShade="FF"/>
          <w:sz w:val="20"/>
          <w:szCs w:val="20"/>
          <w:lang w:val="es-ES"/>
        </w:rPr>
        <w:t>.</w:t>
      </w:r>
    </w:p>
    <w:p w:rsidR="687AE845" w:rsidP="5541A7B4" w:rsidRDefault="687AE845" w14:paraId="31CE0B73" w14:textId="625E18F9">
      <w:pPr>
        <w:pStyle w:val="Normal"/>
        <w:ind w:left="-20" w:right="-20"/>
        <w:jc w:val="both"/>
        <w:rPr>
          <w:rFonts w:ascii="ArialMT" w:hAnsi="ArialMT" w:eastAsia="ArialMT" w:cs="ArialMT"/>
          <w:noProof w:val="0"/>
          <w:color w:val="000000" w:themeColor="text1" w:themeTint="FF" w:themeShade="FF"/>
          <w:sz w:val="20"/>
          <w:szCs w:val="20"/>
          <w:lang w:val="es-ES"/>
        </w:rPr>
      </w:pPr>
      <w:r w:rsidRPr="5541A7B4" w:rsidR="687AE845">
        <w:rPr>
          <w:rFonts w:ascii="ArialMT" w:hAnsi="ArialMT" w:eastAsia="ArialMT" w:cs="ArialMT"/>
          <w:noProof w:val="0"/>
          <w:color w:val="000000" w:themeColor="text1" w:themeTint="FF" w:themeShade="FF"/>
          <w:sz w:val="20"/>
          <w:szCs w:val="20"/>
          <w:lang w:val="es-ES"/>
        </w:rPr>
        <w:t xml:space="preserve">El movimiento está acabado en PVD negro, al igual que la corona y sus dos pulsadores. Para el índice y el material luminiscente de las agujas, </w:t>
      </w:r>
      <w:r w:rsidRPr="5541A7B4" w:rsidR="687AE845">
        <w:rPr>
          <w:rFonts w:ascii="ArialMT" w:hAnsi="ArialMT" w:eastAsia="ArialMT" w:cs="ArialMT"/>
          <w:noProof w:val="0"/>
          <w:color w:val="000000" w:themeColor="text1" w:themeTint="FF" w:themeShade="FF"/>
          <w:sz w:val="20"/>
          <w:szCs w:val="20"/>
          <w:lang w:val="es-ES"/>
        </w:rPr>
        <w:t>Hublot</w:t>
      </w:r>
      <w:r w:rsidRPr="5541A7B4" w:rsidR="687AE845">
        <w:rPr>
          <w:rFonts w:ascii="ArialMT" w:hAnsi="ArialMT" w:eastAsia="ArialMT" w:cs="ArialMT"/>
          <w:noProof w:val="0"/>
          <w:color w:val="000000" w:themeColor="text1" w:themeTint="FF" w:themeShade="FF"/>
          <w:sz w:val="20"/>
          <w:szCs w:val="20"/>
          <w:lang w:val="es-ES"/>
        </w:rPr>
        <w:t xml:space="preserve"> ha logrado reproducir con éxito el tono exacto del Green SAXEM. Esto es algo inédito y seguirá siendo altamente exclusivo, ya que solo se producirán 100 relojes Big </w:t>
      </w:r>
      <w:r w:rsidRPr="5541A7B4" w:rsidR="687AE845">
        <w:rPr>
          <w:rFonts w:ascii="ArialMT" w:hAnsi="ArialMT" w:eastAsia="ArialMT" w:cs="ArialMT"/>
          <w:noProof w:val="0"/>
          <w:color w:val="000000" w:themeColor="text1" w:themeTint="FF" w:themeShade="FF"/>
          <w:sz w:val="20"/>
          <w:szCs w:val="20"/>
          <w:lang w:val="es-ES"/>
        </w:rPr>
        <w:t>Bang</w:t>
      </w:r>
      <w:r w:rsidRPr="5541A7B4" w:rsidR="687AE845">
        <w:rPr>
          <w:rFonts w:ascii="ArialMT" w:hAnsi="ArialMT" w:eastAsia="ArialMT" w:cs="ArialMT"/>
          <w:noProof w:val="0"/>
          <w:color w:val="000000" w:themeColor="text1" w:themeTint="FF" w:themeShade="FF"/>
          <w:sz w:val="20"/>
          <w:szCs w:val="20"/>
          <w:lang w:val="es-ES"/>
        </w:rPr>
        <w:t xml:space="preserve"> Green SAXEM.</w:t>
      </w:r>
    </w:p>
    <w:p w:rsidR="5541A7B4" w:rsidP="5541A7B4" w:rsidRDefault="5541A7B4" w14:paraId="6B5D7E95" w14:textId="22B3922C">
      <w:pPr>
        <w:ind w:left="-20" w:right="-20"/>
        <w:jc w:val="both"/>
        <w:rPr>
          <w:rFonts w:ascii="Arial" w:hAnsi="Arial" w:eastAsia="Arial" w:cs="Arial"/>
          <w:b w:val="1"/>
          <w:bCs w:val="1"/>
          <w:noProof w:val="0"/>
          <w:color w:val="000000" w:themeColor="text1" w:themeTint="FF" w:themeShade="FF"/>
          <w:sz w:val="24"/>
          <w:szCs w:val="24"/>
          <w:lang w:val="es-ES"/>
        </w:rPr>
      </w:pPr>
    </w:p>
    <w:p w:rsidR="5541A7B4" w:rsidP="5541A7B4" w:rsidRDefault="5541A7B4" w14:paraId="74E4195B" w14:textId="55183057">
      <w:pPr>
        <w:ind w:left="-20" w:right="-20"/>
        <w:jc w:val="both"/>
        <w:rPr>
          <w:rFonts w:ascii="Arial" w:hAnsi="Arial" w:eastAsia="Arial" w:cs="Arial"/>
          <w:b w:val="1"/>
          <w:bCs w:val="1"/>
          <w:noProof w:val="0"/>
          <w:color w:val="000000" w:themeColor="text1" w:themeTint="FF" w:themeShade="FF"/>
          <w:sz w:val="24"/>
          <w:szCs w:val="24"/>
          <w:lang w:val="es-ES"/>
        </w:rPr>
      </w:pPr>
    </w:p>
    <w:p w:rsidR="5541A7B4" w:rsidP="5541A7B4" w:rsidRDefault="5541A7B4" w14:paraId="766A39BC" w14:textId="7C8122BB">
      <w:pPr>
        <w:ind w:left="-20" w:right="-20"/>
        <w:jc w:val="both"/>
        <w:rPr>
          <w:rFonts w:ascii="Arial" w:hAnsi="Arial" w:eastAsia="Arial" w:cs="Arial"/>
          <w:b w:val="1"/>
          <w:bCs w:val="1"/>
          <w:noProof w:val="0"/>
          <w:color w:val="000000" w:themeColor="text1" w:themeTint="FF" w:themeShade="FF"/>
          <w:sz w:val="24"/>
          <w:szCs w:val="24"/>
          <w:lang w:val="es-ES"/>
        </w:rPr>
      </w:pPr>
    </w:p>
    <w:p w:rsidR="5541A7B4" w:rsidP="5541A7B4" w:rsidRDefault="5541A7B4" w14:paraId="25CA7DCE" w14:textId="50ED8FD6">
      <w:pPr>
        <w:ind w:left="-20" w:right="-20"/>
        <w:jc w:val="both"/>
        <w:rPr>
          <w:rFonts w:ascii="Arial" w:hAnsi="Arial" w:eastAsia="Arial" w:cs="Arial"/>
          <w:b w:val="1"/>
          <w:bCs w:val="1"/>
          <w:noProof w:val="0"/>
          <w:color w:val="000000" w:themeColor="text1" w:themeTint="FF" w:themeShade="FF"/>
          <w:sz w:val="24"/>
          <w:szCs w:val="24"/>
          <w:lang w:val="es-ES"/>
        </w:rPr>
      </w:pPr>
    </w:p>
    <w:p w:rsidR="5541A7B4" w:rsidP="5541A7B4" w:rsidRDefault="5541A7B4" w14:paraId="5B3EEC02" w14:textId="0DA0F75D">
      <w:pPr>
        <w:ind w:left="-20" w:right="-20"/>
        <w:jc w:val="both"/>
        <w:rPr>
          <w:rFonts w:ascii="Arial" w:hAnsi="Arial" w:eastAsia="Arial" w:cs="Arial"/>
          <w:b w:val="1"/>
          <w:bCs w:val="1"/>
          <w:noProof w:val="0"/>
          <w:color w:val="000000" w:themeColor="text1" w:themeTint="FF" w:themeShade="FF"/>
          <w:sz w:val="24"/>
          <w:szCs w:val="24"/>
          <w:lang w:val="es-ES"/>
        </w:rPr>
      </w:pPr>
    </w:p>
    <w:p w:rsidR="5541A7B4" w:rsidP="5541A7B4" w:rsidRDefault="5541A7B4" w14:paraId="17BAB542" w14:textId="183ACEB5">
      <w:pPr>
        <w:pStyle w:val="Normal"/>
        <w:ind w:left="-20" w:right="-20"/>
        <w:jc w:val="both"/>
        <w:rPr>
          <w:rFonts w:ascii="Arial" w:hAnsi="Arial" w:eastAsia="Arial" w:cs="Arial"/>
          <w:b w:val="1"/>
          <w:bCs w:val="1"/>
          <w:noProof w:val="0"/>
          <w:color w:val="000000" w:themeColor="text1" w:themeTint="FF" w:themeShade="FF"/>
          <w:sz w:val="24"/>
          <w:szCs w:val="24"/>
          <w:lang w:val="es-ES"/>
        </w:rPr>
      </w:pPr>
    </w:p>
    <w:p w:rsidR="5541A7B4" w:rsidP="5541A7B4" w:rsidRDefault="5541A7B4" w14:paraId="6D4884A6" w14:textId="4418EC9F">
      <w:pPr>
        <w:pStyle w:val="Normal"/>
        <w:ind w:left="-20" w:right="-20"/>
        <w:jc w:val="both"/>
        <w:rPr>
          <w:rFonts w:ascii="ArialMT" w:hAnsi="ArialMT" w:eastAsia="ArialMT" w:cs="ArialMT"/>
          <w:noProof w:val="0"/>
          <w:color w:val="000000" w:themeColor="text1" w:themeTint="FF" w:themeShade="FF"/>
          <w:sz w:val="20"/>
          <w:szCs w:val="20"/>
          <w:lang w:val="es-ES"/>
        </w:rPr>
      </w:pPr>
    </w:p>
    <w:p w:rsidR="37DBA646" w:rsidP="5541A7B4" w:rsidRDefault="37DBA646" w14:paraId="290EF7A4" w14:textId="11ECF530">
      <w:pPr>
        <w:pStyle w:val="Normal"/>
        <w:jc w:val="center"/>
      </w:pPr>
      <w:r w:rsidR="37DBA646">
        <w:drawing>
          <wp:inline wp14:editId="3C8410BB" wp14:anchorId="5DFB95CC">
            <wp:extent cx="1296793" cy="673144"/>
            <wp:effectExtent l="0" t="0" r="0" b="0"/>
            <wp:docPr id="482533265" name="" title=""/>
            <wp:cNvGraphicFramePr>
              <a:graphicFrameLocks noChangeAspect="1"/>
            </wp:cNvGraphicFramePr>
            <a:graphic>
              <a:graphicData uri="http://schemas.openxmlformats.org/drawingml/2006/picture">
                <pic:pic>
                  <pic:nvPicPr>
                    <pic:cNvPr id="0" name=""/>
                    <pic:cNvPicPr/>
                  </pic:nvPicPr>
                  <pic:blipFill>
                    <a:blip r:embed="Ra4a843e2d2434fc7">
                      <a:extLst>
                        <a:ext xmlns:a="http://schemas.openxmlformats.org/drawingml/2006/main" uri="{28A0092B-C50C-407E-A947-70E740481C1C}">
                          <a14:useLocalDpi val="0"/>
                        </a:ext>
                      </a:extLst>
                    </a:blip>
                    <a:stretch>
                      <a:fillRect/>
                    </a:stretch>
                  </pic:blipFill>
                  <pic:spPr>
                    <a:xfrm>
                      <a:off x="0" y="0"/>
                      <a:ext cx="1296793" cy="673144"/>
                    </a:xfrm>
                    <a:prstGeom prst="rect">
                      <a:avLst/>
                    </a:prstGeom>
                  </pic:spPr>
                </pic:pic>
              </a:graphicData>
            </a:graphic>
          </wp:inline>
        </w:drawing>
      </w:r>
    </w:p>
    <w:p w:rsidR="70414E1E" w:rsidP="5541A7B4" w:rsidRDefault="70414E1E" w14:paraId="6B214E76" w14:textId="4FC1F4CE">
      <w:pPr>
        <w:ind w:left="-20" w:right="-20"/>
        <w:jc w:val="both"/>
        <w:rPr>
          <w:rFonts w:ascii="Arial" w:hAnsi="Arial" w:eastAsia="Arial" w:cs="Arial"/>
          <w:b w:val="1"/>
          <w:bCs w:val="1"/>
          <w:noProof w:val="0"/>
          <w:color w:val="000000" w:themeColor="text1" w:themeTint="FF" w:themeShade="FF"/>
          <w:sz w:val="24"/>
          <w:szCs w:val="24"/>
          <w:lang w:val="es-ES"/>
        </w:rPr>
      </w:pPr>
      <w:r w:rsidRPr="5541A7B4" w:rsidR="70414E1E">
        <w:rPr>
          <w:rFonts w:ascii="Arial" w:hAnsi="Arial" w:eastAsia="Arial" w:cs="Arial"/>
          <w:b w:val="1"/>
          <w:bCs w:val="1"/>
          <w:noProof w:val="0"/>
          <w:color w:val="000000" w:themeColor="text1" w:themeTint="FF" w:themeShade="FF"/>
          <w:sz w:val="24"/>
          <w:szCs w:val="24"/>
          <w:lang w:val="es-ES"/>
        </w:rPr>
        <w:t>HUBLOT</w:t>
      </w:r>
    </w:p>
    <w:p w:rsidR="70414E1E" w:rsidP="5541A7B4" w:rsidRDefault="70414E1E" w14:paraId="377A4D6A" w14:textId="79B39DB5">
      <w:pPr>
        <w:pStyle w:val="Normal"/>
        <w:ind w:left="-20" w:right="-20"/>
        <w:jc w:val="both"/>
        <w:rPr>
          <w:rFonts w:ascii="ArialMT" w:hAnsi="ArialMT" w:eastAsia="ArialMT" w:cs="ArialMT"/>
          <w:sz w:val="20"/>
          <w:szCs w:val="20"/>
        </w:rPr>
      </w:pPr>
      <w:r w:rsidRPr="5541A7B4" w:rsidR="70414E1E">
        <w:rPr>
          <w:rFonts w:ascii="ArialMT" w:hAnsi="ArialMT" w:eastAsia="ArialMT" w:cs="ArialMT"/>
          <w:sz w:val="20"/>
          <w:szCs w:val="20"/>
        </w:rPr>
        <w:t>Hublot</w:t>
      </w:r>
      <w:r w:rsidRPr="5541A7B4" w:rsidR="70414E1E">
        <w:rPr>
          <w:rFonts w:ascii="ArialMT" w:hAnsi="ArialMT" w:eastAsia="ArialMT" w:cs="ArialMT"/>
          <w:sz w:val="20"/>
          <w:szCs w:val="20"/>
        </w:rPr>
        <w:t xml:space="preserve"> es una manufactura relojera suiza fundada en 1980, con sede en </w:t>
      </w:r>
      <w:r w:rsidRPr="5541A7B4" w:rsidR="70414E1E">
        <w:rPr>
          <w:rFonts w:ascii="ArialMT" w:hAnsi="ArialMT" w:eastAsia="ArialMT" w:cs="ArialMT"/>
          <w:sz w:val="20"/>
          <w:szCs w:val="20"/>
        </w:rPr>
        <w:t>Nyon</w:t>
      </w:r>
      <w:r w:rsidRPr="5541A7B4" w:rsidR="70414E1E">
        <w:rPr>
          <w:rFonts w:ascii="ArialMT" w:hAnsi="ArialMT" w:eastAsia="ArialMT" w:cs="ArialMT"/>
          <w:sz w:val="20"/>
          <w:szCs w:val="20"/>
        </w:rPr>
        <w:t>. Para su primer reloj, esta empresa fundamentalmente disruptiva combinó el oro con una correa de caucho en una caja con un diseño inspirado en el ojo de buey de un barco (</w:t>
      </w:r>
      <w:r w:rsidRPr="5541A7B4" w:rsidR="70414E1E">
        <w:rPr>
          <w:rFonts w:ascii="ArialMT" w:hAnsi="ArialMT" w:eastAsia="ArialMT" w:cs="ArialMT"/>
          <w:sz w:val="20"/>
          <w:szCs w:val="20"/>
        </w:rPr>
        <w:t>hublot</w:t>
      </w:r>
      <w:r w:rsidRPr="5541A7B4" w:rsidR="70414E1E">
        <w:rPr>
          <w:rFonts w:ascii="ArialMT" w:hAnsi="ArialMT" w:eastAsia="ArialMT" w:cs="ArialMT"/>
          <w:sz w:val="20"/>
          <w:szCs w:val="20"/>
        </w:rPr>
        <w:t>, en francés). Así nació el Arte de la Fusión, mezclando tradición, innovación, artesanía, universos y talentos. Se convirtió en la firma estética técnica de la marca.</w:t>
      </w:r>
    </w:p>
    <w:p w:rsidR="70414E1E" w:rsidP="5541A7B4" w:rsidRDefault="70414E1E" w14:paraId="710E42A7" w14:textId="49C7B3B0">
      <w:pPr>
        <w:pStyle w:val="Normal"/>
        <w:jc w:val="both"/>
      </w:pPr>
      <w:r w:rsidR="70414E1E">
        <w:rPr/>
        <w:t xml:space="preserve">Esta identidad se reforzó en 2005 con la creación del Big </w:t>
      </w:r>
      <w:r w:rsidR="70414E1E">
        <w:rPr/>
        <w:t>Bang</w:t>
      </w:r>
      <w:r w:rsidR="70414E1E">
        <w:rPr/>
        <w:t xml:space="preserve">, que hizo gala de un savoir-faire inigualable desde el punto de vista de las complicaciones, los movimientos de manufactura y el uso de HUBLOT: </w:t>
      </w:r>
      <w:r w:rsidR="70414E1E">
        <w:rPr/>
        <w:t xml:space="preserve">www.hublot.com Email: </w:t>
      </w:r>
      <w:r w:rsidR="70414E1E">
        <w:rPr/>
        <w:t xml:space="preserve">a.galley@hublot.ch </w:t>
      </w:r>
      <w:hyperlink r:id="R32345986b0b54dcc">
        <w:r w:rsidRPr="5541A7B4" w:rsidR="70414E1E">
          <w:rPr>
            <w:rStyle w:val="Hyperlink"/>
          </w:rPr>
          <w:t>&amp;n.krasojevic@hublot.ch</w:t>
        </w:r>
        <w:r w:rsidRPr="5541A7B4" w:rsidR="35995BA5">
          <w:rPr>
            <w:rStyle w:val="Hyperlink"/>
          </w:rPr>
          <w:t>.</w:t>
        </w:r>
      </w:hyperlink>
      <w:r w:rsidR="35995BA5">
        <w:rPr/>
        <w:t xml:space="preserve"> </w:t>
      </w:r>
      <w:r w:rsidR="70414E1E">
        <w:rPr/>
        <w:t>Presslounge</w:t>
      </w:r>
      <w:r w:rsidR="70414E1E">
        <w:rPr/>
        <w:t xml:space="preserve"> </w:t>
      </w:r>
      <w:r w:rsidR="70414E1E">
        <w:rPr/>
        <w:t>platform</w:t>
      </w:r>
      <w:r w:rsidR="70414E1E">
        <w:rPr/>
        <w:t>: presslounge.hublot.com/</w:t>
      </w:r>
      <w:r w:rsidR="70414E1E">
        <w:rPr/>
        <w:t>connection</w:t>
      </w:r>
      <w:r w:rsidR="70414E1E">
        <w:rPr/>
        <w:t>/ materiales de última generación. En este modelo el carbono, el titanio, la cerámica y el zafiro han alcanzado unos niveles de tecnificación sin precedentes.</w:t>
      </w:r>
    </w:p>
    <w:p w:rsidR="70414E1E" w:rsidP="5541A7B4" w:rsidRDefault="70414E1E" w14:paraId="23ABAA7E" w14:textId="16A73CFA">
      <w:pPr>
        <w:pStyle w:val="Normal"/>
        <w:jc w:val="both"/>
      </w:pPr>
      <w:r w:rsidR="70414E1E">
        <w:rPr/>
        <w:t xml:space="preserve">Este enfoque innovador y de relojería de alta calidad se resume en la filosofía «Se El Primero, Distinto y Único». Poco a poco, otras colecciones con un diseño rompedor han ido cobrando vida: </w:t>
      </w:r>
      <w:r w:rsidR="70414E1E">
        <w:rPr/>
        <w:t>Classic</w:t>
      </w:r>
      <w:r w:rsidR="70414E1E">
        <w:rPr/>
        <w:t xml:space="preserve"> </w:t>
      </w:r>
      <w:r w:rsidR="70414E1E">
        <w:rPr/>
        <w:t>Fusion</w:t>
      </w:r>
      <w:r w:rsidR="70414E1E">
        <w:rPr/>
        <w:t xml:space="preserve">, </w:t>
      </w:r>
      <w:r w:rsidR="70414E1E">
        <w:rPr/>
        <w:t>Spirit</w:t>
      </w:r>
      <w:r w:rsidR="70414E1E">
        <w:rPr/>
        <w:t xml:space="preserve"> </w:t>
      </w:r>
      <w:r w:rsidR="70414E1E">
        <w:rPr/>
        <w:t>of</w:t>
      </w:r>
      <w:r w:rsidR="70414E1E">
        <w:rPr/>
        <w:t xml:space="preserve"> Big </w:t>
      </w:r>
      <w:r w:rsidR="70414E1E">
        <w:rPr/>
        <w:t>Bang</w:t>
      </w:r>
      <w:r w:rsidR="70414E1E">
        <w:rPr/>
        <w:t xml:space="preserve">, Square </w:t>
      </w:r>
      <w:r w:rsidR="70414E1E">
        <w:rPr/>
        <w:t>Bang</w:t>
      </w:r>
      <w:r w:rsidR="70414E1E">
        <w:rPr/>
        <w:t xml:space="preserve"> y Manufacture </w:t>
      </w:r>
      <w:r w:rsidR="70414E1E">
        <w:rPr/>
        <w:t>Pieces</w:t>
      </w:r>
      <w:r w:rsidR="70414E1E">
        <w:rPr/>
        <w:t xml:space="preserve">. Todas ellas se sustentan en el profundo conocimiento técnico de los materiales que tanto aprecia </w:t>
      </w:r>
      <w:r w:rsidR="70414E1E">
        <w:rPr/>
        <w:t>Hublot</w:t>
      </w:r>
      <w:r w:rsidR="70414E1E">
        <w:rPr/>
        <w:t xml:space="preserve"> (Magic Gold, cerámicas de vivos colores, zafiro) y en los movimientos patentados por la marca (cronógrafo </w:t>
      </w:r>
      <w:r w:rsidR="70414E1E">
        <w:rPr/>
        <w:t>Unico</w:t>
      </w:r>
      <w:r w:rsidR="70414E1E">
        <w:rPr/>
        <w:t xml:space="preserve">, Meca-10 y grandes complicaciones como el </w:t>
      </w:r>
      <w:r w:rsidR="70414E1E">
        <w:rPr/>
        <w:t>Tourbillon</w:t>
      </w:r>
      <w:r w:rsidR="70414E1E">
        <w:rPr/>
        <w:t xml:space="preserve">, la Repetición de Minutos Catedral y los movimientos consagrados a las Manufacture </w:t>
      </w:r>
      <w:r w:rsidR="70414E1E">
        <w:rPr/>
        <w:t>Pieces</w:t>
      </w:r>
      <w:r w:rsidR="70414E1E">
        <w:rPr/>
        <w:t xml:space="preserve"> como el MP-11).</w:t>
      </w:r>
    </w:p>
    <w:p w:rsidR="70414E1E" w:rsidP="5541A7B4" w:rsidRDefault="70414E1E" w14:paraId="15426DD9" w14:textId="1C39B4C5">
      <w:pPr>
        <w:pStyle w:val="Normal"/>
        <w:jc w:val="both"/>
      </w:pPr>
      <w:r w:rsidR="70414E1E">
        <w:rPr/>
        <w:t xml:space="preserve">El universo de </w:t>
      </w:r>
      <w:r w:rsidR="70414E1E">
        <w:rPr/>
        <w:t>Hublot</w:t>
      </w:r>
      <w:r w:rsidR="70414E1E">
        <w:rPr/>
        <w:t xml:space="preserve"> cristaliza en asociaciones fructíferas, que incluyen el fútbol. «</w:t>
      </w:r>
      <w:r w:rsidR="70414E1E">
        <w:rPr/>
        <w:t>Hublot</w:t>
      </w:r>
      <w:r w:rsidR="70414E1E">
        <w:rPr/>
        <w:t xml:space="preserve"> </w:t>
      </w:r>
      <w:r w:rsidR="70414E1E">
        <w:rPr/>
        <w:t>LovesFootball</w:t>
      </w:r>
      <w:r w:rsidR="70414E1E">
        <w:rPr/>
        <w:t xml:space="preserve">» se ha convertido en el himno de los eventos deportivos más importantes del mundo (FIFA </w:t>
      </w:r>
      <w:r w:rsidR="70414E1E">
        <w:rPr/>
        <w:t>World</w:t>
      </w:r>
      <w:r w:rsidR="70414E1E">
        <w:rPr/>
        <w:t xml:space="preserve"> </w:t>
      </w:r>
      <w:r w:rsidR="70414E1E">
        <w:rPr/>
        <w:t>CupTM</w:t>
      </w:r>
      <w:r w:rsidR="70414E1E">
        <w:rPr/>
        <w:t xml:space="preserve">, Premier League, UEFA Champions League, UEFA EUROTM) y a través de sus embajadores. Este amor por el fútbol se extiende al mundo del arte, el diseño, la música, el deporte, la gastronomía y la navegación. Por último, la implicación de </w:t>
      </w:r>
      <w:r w:rsidR="70414E1E">
        <w:rPr/>
        <w:t>Hublot</w:t>
      </w:r>
      <w:r w:rsidR="70414E1E">
        <w:rPr/>
        <w:t xml:space="preserve"> en proyectos medioambientales conjuntos con SORAI y Polar </w:t>
      </w:r>
      <w:r w:rsidR="70414E1E">
        <w:rPr/>
        <w:t>Pod</w:t>
      </w:r>
      <w:r w:rsidR="70414E1E">
        <w:rPr/>
        <w:t xml:space="preserve"> refleja su preocupación por los temas de actualidad. Casi 130 boutiques de todo el mundo comparten el fervor y los valores de </w:t>
      </w:r>
      <w:r w:rsidR="70414E1E">
        <w:rPr/>
        <w:t>Hublot</w:t>
      </w:r>
      <w:r w:rsidR="70414E1E">
        <w:rPr/>
        <w:t>, junto con el sitio de comercio electrónico Hublot.com.</w:t>
      </w:r>
    </w:p>
    <w:p w:rsidR="5541A7B4" w:rsidP="5541A7B4" w:rsidRDefault="5541A7B4" w14:paraId="4C1387B7" w14:textId="35F3403B">
      <w:pPr>
        <w:pStyle w:val="Normal"/>
        <w:jc w:val="center"/>
      </w:pPr>
    </w:p>
    <w:sectPr>
      <w:pgSz w:w="11906" w:h="16838" w:orient="portrait"/>
      <w:pgMar w:top="1440" w:right="1440" w:bottom="1440" w:left="1440" w:header="720" w:footer="720" w:gutter="0"/>
      <w:cols w:space="720"/>
      <w:docGrid w:linePitch="360"/>
      <w:headerReference w:type="default" r:id="R6748fac3670a4a24"/>
      <w:footerReference w:type="default" r:id="Rade2fc5374b7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41A7B4" w:rsidTr="5541A7B4" w14:paraId="48E55F0E">
      <w:trPr>
        <w:trHeight w:val="300"/>
      </w:trPr>
      <w:tc>
        <w:tcPr>
          <w:tcW w:w="3005" w:type="dxa"/>
          <w:tcMar/>
        </w:tcPr>
        <w:p w:rsidR="5541A7B4" w:rsidP="5541A7B4" w:rsidRDefault="5541A7B4" w14:paraId="4C688A64" w14:textId="042187BB">
          <w:pPr>
            <w:pStyle w:val="Header"/>
            <w:bidi w:val="0"/>
            <w:ind w:left="-115"/>
            <w:jc w:val="left"/>
          </w:pPr>
        </w:p>
      </w:tc>
      <w:tc>
        <w:tcPr>
          <w:tcW w:w="3005" w:type="dxa"/>
          <w:tcMar/>
        </w:tcPr>
        <w:p w:rsidR="5541A7B4" w:rsidP="5541A7B4" w:rsidRDefault="5541A7B4" w14:paraId="3654E79C" w14:textId="162ECC8D">
          <w:pPr>
            <w:pStyle w:val="Header"/>
            <w:bidi w:val="0"/>
            <w:jc w:val="center"/>
          </w:pPr>
        </w:p>
      </w:tc>
      <w:tc>
        <w:tcPr>
          <w:tcW w:w="3005" w:type="dxa"/>
          <w:tcMar/>
        </w:tcPr>
        <w:p w:rsidR="5541A7B4" w:rsidP="5541A7B4" w:rsidRDefault="5541A7B4" w14:paraId="1E07015D" w14:textId="54AC8E1E">
          <w:pPr>
            <w:pStyle w:val="Header"/>
            <w:bidi w:val="0"/>
            <w:ind w:right="-115"/>
            <w:jc w:val="right"/>
          </w:pPr>
        </w:p>
      </w:tc>
    </w:tr>
  </w:tbl>
  <w:p w:rsidR="5541A7B4" w:rsidP="5541A7B4" w:rsidRDefault="5541A7B4" w14:paraId="71F3E5C9" w14:textId="7590F9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41A7B4" w:rsidTr="5541A7B4" w14:paraId="4600AF74">
      <w:trPr>
        <w:trHeight w:val="300"/>
      </w:trPr>
      <w:tc>
        <w:tcPr>
          <w:tcW w:w="3005" w:type="dxa"/>
          <w:tcMar/>
        </w:tcPr>
        <w:p w:rsidR="5541A7B4" w:rsidP="5541A7B4" w:rsidRDefault="5541A7B4" w14:paraId="550A0C54" w14:textId="661DBA2D">
          <w:pPr>
            <w:pStyle w:val="Header"/>
            <w:bidi w:val="0"/>
            <w:ind w:left="-115"/>
            <w:jc w:val="left"/>
          </w:pPr>
        </w:p>
      </w:tc>
      <w:tc>
        <w:tcPr>
          <w:tcW w:w="3005" w:type="dxa"/>
          <w:tcMar/>
        </w:tcPr>
        <w:p w:rsidR="5541A7B4" w:rsidP="5541A7B4" w:rsidRDefault="5541A7B4" w14:paraId="7DA58D42" w14:textId="5EE2A948">
          <w:pPr>
            <w:pStyle w:val="Header"/>
            <w:bidi w:val="0"/>
            <w:jc w:val="center"/>
          </w:pPr>
        </w:p>
      </w:tc>
      <w:tc>
        <w:tcPr>
          <w:tcW w:w="3005" w:type="dxa"/>
          <w:tcMar/>
        </w:tcPr>
        <w:p w:rsidR="5541A7B4" w:rsidP="5541A7B4" w:rsidRDefault="5541A7B4" w14:paraId="1A74BA9C" w14:textId="087269D5">
          <w:pPr>
            <w:pStyle w:val="Header"/>
            <w:bidi w:val="0"/>
            <w:ind w:right="-115"/>
            <w:jc w:val="right"/>
          </w:pPr>
        </w:p>
      </w:tc>
    </w:tr>
  </w:tbl>
  <w:p w:rsidR="5541A7B4" w:rsidP="5541A7B4" w:rsidRDefault="5541A7B4" w14:paraId="26689D95" w14:textId="7401C69D">
    <w:pPr>
      <w:pStyle w:val="Header"/>
      <w:bidi w:val="0"/>
    </w:pPr>
  </w:p>
</w:hdr>
</file>

<file path=word/intelligence2.xml><?xml version="1.0" encoding="utf-8"?>
<int2:intelligence xmlns:int2="http://schemas.microsoft.com/office/intelligence/2020/intelligence">
  <int2:observations>
    <int2:textHash int2:hashCode="a/M1KmwqmjtwAv" int2:id="Qn1zkAY9">
      <int2:state int2:type="AugLoop_Text_Critique" int2:value="Rejected"/>
    </int2:textHash>
    <int2:textHash int2:hashCode="LVpYEMe/uriLUD" int2:id="I1rzLdQQ">
      <int2:state int2:type="AugLoop_Text_Critique" int2:value="Rejected"/>
    </int2:textHash>
    <int2:textHash int2:hashCode="EKow292yRWivPy" int2:id="IzeTkLM8">
      <int2:state int2:type="AugLoop_Text_Critique" int2:value="Rejected"/>
    </int2:textHash>
    <int2:textHash int2:hashCode="PHKrvmJvJ9F02A" int2:id="s0FPbB3b">
      <int2:state int2:type="AugLoop_Text_Critique" int2:value="Rejected"/>
    </int2:textHash>
    <int2:textHash int2:hashCode="gUYFxkpcHDwtPC" int2:id="GxV3trAf">
      <int2:state int2:type="AugLoop_Text_Critique" int2:value="Rejected"/>
    </int2:textHash>
    <int2:textHash int2:hashCode="ke3UAJxK3rXAzp" int2:id="gEIdS0om">
      <int2:state int2:type="AugLoop_Text_Critique" int2:value="Rejected"/>
    </int2:textHash>
    <int2:textHash int2:hashCode="GFMHm14nvdQaMW" int2:id="9bq8kids">
      <int2:state int2:type="AugLoop_Text_Critique" int2:value="Rejected"/>
    </int2:textHash>
    <int2:textHash int2:hashCode="6Fe3zyloBWc+KS" int2:id="22sSBbVc">
      <int2:state int2:type="AugLoop_Text_Critique" int2:value="Rejected"/>
    </int2:textHash>
    <int2:textHash int2:hashCode="fCEUM/AgcVl3Qe" int2:id="I8OAxwAR">
      <int2:state int2:type="AugLoop_Text_Critique" int2:value="Rejected"/>
    </int2:textHash>
    <int2:textHash int2:hashCode="5XUm+FtrHgfk+S" int2:id="N7FHyVkA">
      <int2:state int2:type="AugLoop_Text_Critique" int2:value="Rejected"/>
    </int2:textHash>
    <int2:textHash int2:hashCode="6ReJmmGwnvcAhe" int2:id="esQZ75L2">
      <int2:state int2:type="AugLoop_Text_Critique" int2:value="Rejected"/>
    </int2:textHash>
    <int2:textHash int2:hashCode="3gT6Din5s14kkF" int2:id="N8C1BzEc">
      <int2:state int2:type="AugLoop_Text_Critique" int2:value="Rejected"/>
    </int2:textHash>
    <int2:textHash int2:hashCode="tA1RMY78ZlCakW" int2:id="rlvVgzuK">
      <int2:state int2:type="AugLoop_Text_Critique" int2:value="Rejected"/>
    </int2:textHash>
    <int2:textHash int2:hashCode="9+b98UmjKJ+cny" int2:id="M9zfooGS">
      <int2:state int2:type="AugLoop_Text_Critique" int2:value="Rejected"/>
    </int2:textHash>
    <int2:textHash int2:hashCode="KQt1GI18mjiLZx" int2:id="jRX3GVNb">
      <int2:state int2:type="AugLoop_Text_Critique" int2:value="Rejected"/>
    </int2:textHash>
    <int2:textHash int2:hashCode="uT7FZgj7MC/qeo" int2:id="UeNR3in6">
      <int2:state int2:type="AugLoop_Text_Critique" int2:value="Rejected"/>
    </int2:textHash>
    <int2:textHash int2:hashCode="/gW83NxJKAEnga" int2:id="qC0WElIE">
      <int2:state int2:type="AugLoop_Text_Critique" int2:value="Rejected"/>
    </int2:textHash>
    <int2:textHash int2:hashCode="CreZJ6WS8XJ9TS" int2:id="NcQUg7EF">
      <int2:state int2:type="AugLoop_Text_Critique" int2:value="Rejected"/>
    </int2:textHash>
    <int2:textHash int2:hashCode="ZOV13rbU0U1esQ" int2:id="I486CXnH">
      <int2:state int2:type="AugLoop_Text_Critique" int2:value="Rejected"/>
    </int2:textHash>
    <int2:textHash int2:hashCode="TJU2Trv5rtym3+" int2:id="XGmq19D8">
      <int2:state int2:type="AugLoop_Text_Critique" int2:value="Rejected"/>
    </int2:textHash>
    <int2:textHash int2:hashCode="gN+kna0e3x1v6B" int2:id="Tpuz4328">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D5D53D"/>
    <w:rsid w:val="03044F01"/>
    <w:rsid w:val="04474177"/>
    <w:rsid w:val="057AB9F8"/>
    <w:rsid w:val="083396F7"/>
    <w:rsid w:val="0C48A069"/>
    <w:rsid w:val="11140A15"/>
    <w:rsid w:val="16A882BC"/>
    <w:rsid w:val="1745D680"/>
    <w:rsid w:val="1B2D7236"/>
    <w:rsid w:val="1B691D7A"/>
    <w:rsid w:val="1C11ADE8"/>
    <w:rsid w:val="1FFA46D8"/>
    <w:rsid w:val="20C7702D"/>
    <w:rsid w:val="224421E9"/>
    <w:rsid w:val="22C99140"/>
    <w:rsid w:val="22D075B3"/>
    <w:rsid w:val="231F0C7E"/>
    <w:rsid w:val="24DC6C46"/>
    <w:rsid w:val="2581F190"/>
    <w:rsid w:val="279AD4B3"/>
    <w:rsid w:val="2BA43CC8"/>
    <w:rsid w:val="2DE4A099"/>
    <w:rsid w:val="2E211385"/>
    <w:rsid w:val="2EA6E508"/>
    <w:rsid w:val="2FFBD09B"/>
    <w:rsid w:val="32C91D5E"/>
    <w:rsid w:val="3319959F"/>
    <w:rsid w:val="3369D5B9"/>
    <w:rsid w:val="33AF4EAD"/>
    <w:rsid w:val="35995BA5"/>
    <w:rsid w:val="3600BE20"/>
    <w:rsid w:val="361F4352"/>
    <w:rsid w:val="37DBA646"/>
    <w:rsid w:val="3956E414"/>
    <w:rsid w:val="3B502396"/>
    <w:rsid w:val="3C9B341D"/>
    <w:rsid w:val="3D1A7D80"/>
    <w:rsid w:val="3DB261A2"/>
    <w:rsid w:val="3F500B39"/>
    <w:rsid w:val="4005C7A9"/>
    <w:rsid w:val="40670A13"/>
    <w:rsid w:val="42115372"/>
    <w:rsid w:val="42D5D53D"/>
    <w:rsid w:val="4397F425"/>
    <w:rsid w:val="43CD5FFD"/>
    <w:rsid w:val="4DD754FC"/>
    <w:rsid w:val="4E0B14DA"/>
    <w:rsid w:val="4E80E354"/>
    <w:rsid w:val="4EC0E321"/>
    <w:rsid w:val="4F6BBDAE"/>
    <w:rsid w:val="52614D78"/>
    <w:rsid w:val="52A82F97"/>
    <w:rsid w:val="547A565E"/>
    <w:rsid w:val="550821F2"/>
    <w:rsid w:val="5541A7B4"/>
    <w:rsid w:val="572CCB6D"/>
    <w:rsid w:val="583895A5"/>
    <w:rsid w:val="5A697A61"/>
    <w:rsid w:val="5B931543"/>
    <w:rsid w:val="5D443596"/>
    <w:rsid w:val="5F069FB6"/>
    <w:rsid w:val="5F6F8E13"/>
    <w:rsid w:val="6000D104"/>
    <w:rsid w:val="65B801A6"/>
    <w:rsid w:val="668B0A50"/>
    <w:rsid w:val="687AE845"/>
    <w:rsid w:val="6905D768"/>
    <w:rsid w:val="6AF9DDD2"/>
    <w:rsid w:val="6BA44F1C"/>
    <w:rsid w:val="70414E1E"/>
    <w:rsid w:val="70F18F64"/>
    <w:rsid w:val="719E8A68"/>
    <w:rsid w:val="73D0E81F"/>
    <w:rsid w:val="74CD247D"/>
    <w:rsid w:val="75CA0A8C"/>
    <w:rsid w:val="76635B02"/>
    <w:rsid w:val="768E2678"/>
    <w:rsid w:val="7760D0E8"/>
    <w:rsid w:val="787BD625"/>
    <w:rsid w:val="799E405C"/>
    <w:rsid w:val="79BD5D06"/>
    <w:rsid w:val="7AE143AE"/>
    <w:rsid w:val="7D3BB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D53D"/>
  <w15:chartTrackingRefBased/>
  <w15:docId w15:val="{703CD1A2-7EB9-4389-BFF9-4E3A8215D8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e95bd3904ae4d26" /><Relationship Type="http://schemas.openxmlformats.org/officeDocument/2006/relationships/image" Target="/media/image2.png" Id="R3408d4ae4dc7463b" /><Relationship Type="http://schemas.openxmlformats.org/officeDocument/2006/relationships/image" Target="/media/image3.png" Id="R36b73b03f96e488c" /><Relationship Type="http://schemas.openxmlformats.org/officeDocument/2006/relationships/image" Target="/media/image4.png" Id="Ra4a843e2d2434fc7" /><Relationship Type="http://schemas.openxmlformats.org/officeDocument/2006/relationships/hyperlink" Target="mailto:&amp;n.krasojevic@hublot.ch" TargetMode="External" Id="R32345986b0b54dcc" /><Relationship Type="http://schemas.openxmlformats.org/officeDocument/2006/relationships/header" Target="header.xml" Id="R6748fac3670a4a24" /><Relationship Type="http://schemas.openxmlformats.org/officeDocument/2006/relationships/footer" Target="footer.xml" Id="Rade2fc5374b74062" /><Relationship Type="http://schemas.microsoft.com/office/2020/10/relationships/intelligence" Target="intelligence2.xml" Id="R85dd0898d12d46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DCCB1-2A48-4D15-87F2-93FB13F0B838}"/>
</file>

<file path=customXml/itemProps2.xml><?xml version="1.0" encoding="utf-8"?>
<ds:datastoreItem xmlns:ds="http://schemas.openxmlformats.org/officeDocument/2006/customXml" ds:itemID="{8DD6A350-1ED5-4046-B2AE-27251B0A02A4}"/>
</file>

<file path=customXml/itemProps3.xml><?xml version="1.0" encoding="utf-8"?>
<ds:datastoreItem xmlns:ds="http://schemas.openxmlformats.org/officeDocument/2006/customXml" ds:itemID="{579E9818-514A-49AC-9F8A-295E96AE90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Coloapa</dc:creator>
  <cp:keywords/>
  <dc:description/>
  <cp:lastModifiedBy>Nadia Fernanda Lopez Hernandez</cp:lastModifiedBy>
  <dcterms:created xsi:type="dcterms:W3CDTF">2024-01-29T17:46:52Z</dcterms:created>
  <dcterms:modified xsi:type="dcterms:W3CDTF">2024-01-29T23:37:16Z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